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3048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4FCED563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5811350D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0A846FEA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6AD90938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714E6555" w14:textId="69A4B43F" w:rsidR="00941E27" w:rsidRDefault="00941E27" w:rsidP="00941E27">
      <w:pPr>
        <w:jc w:val="center"/>
        <w:rPr>
          <w:rFonts w:ascii="Lato" w:hAnsi="Lato" w:cs="Segoe UI Light"/>
          <w:b/>
          <w:sz w:val="20"/>
          <w:szCs w:val="20"/>
        </w:rPr>
      </w:pPr>
      <w:r>
        <w:rPr>
          <w:rFonts w:ascii="Lato" w:hAnsi="Lato" w:cs="Segoe UI Light"/>
          <w:b/>
          <w:noProof/>
          <w:sz w:val="20"/>
          <w:szCs w:val="20"/>
        </w:rPr>
        <w:drawing>
          <wp:inline distT="0" distB="0" distL="0" distR="0" wp14:anchorId="7BD270E5" wp14:editId="66DA8EC9">
            <wp:extent cx="1975485" cy="932815"/>
            <wp:effectExtent l="0" t="0" r="571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620444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400FDC57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6E345B52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427A8E97" w14:textId="4808B311" w:rsidR="00941E27" w:rsidRPr="00941E27" w:rsidRDefault="00941E27" w:rsidP="00941E27">
      <w:pPr>
        <w:jc w:val="center"/>
        <w:rPr>
          <w:rFonts w:ascii="Lato" w:hAnsi="Lato" w:cs="Segoe UI Light"/>
          <w:b/>
          <w:bCs/>
          <w:sz w:val="20"/>
          <w:szCs w:val="20"/>
        </w:rPr>
      </w:pPr>
      <w:r w:rsidRPr="00941E27">
        <w:rPr>
          <w:rFonts w:ascii="Lato" w:hAnsi="Lato" w:cs="Arial"/>
          <w:b/>
          <w:bCs/>
          <w:sz w:val="32"/>
          <w:szCs w:val="32"/>
        </w:rPr>
        <w:t>Postępowanie przetargowe</w:t>
      </w:r>
      <w:r w:rsidRPr="00941E27">
        <w:rPr>
          <w:rFonts w:ascii="Lato" w:hAnsi="Lato"/>
          <w:b/>
          <w:bCs/>
          <w:sz w:val="32"/>
          <w:szCs w:val="32"/>
        </w:rPr>
        <w:br/>
      </w:r>
      <w:r w:rsidRPr="00941E27">
        <w:rPr>
          <w:rFonts w:ascii="Lato" w:hAnsi="Lato" w:cs="Arial"/>
          <w:b/>
          <w:bCs/>
          <w:sz w:val="32"/>
          <w:szCs w:val="32"/>
        </w:rPr>
        <w:t>na wybór firmy audytorskiej przeprowadzającej badania i przeglądy sprawozdań finansowych Alior Banku SA oraz wybranych jednostek z Grupy Alior Banku</w:t>
      </w:r>
      <w:r w:rsidRPr="00941E27">
        <w:rPr>
          <w:rFonts w:ascii="Lato" w:hAnsi="Lato"/>
          <w:b/>
          <w:bCs/>
          <w:sz w:val="32"/>
          <w:szCs w:val="32"/>
        </w:rPr>
        <w:br/>
      </w:r>
    </w:p>
    <w:p w14:paraId="581CC685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7AE3E907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1A3C9292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58D2D62F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75A152FA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1CDBB961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6A5B399E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49F669D5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774EB896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4D23AFF7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5F256D1D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26ECB030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042759C0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59208872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5FFE0C48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7F565600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3C7760D9" w14:textId="77777777" w:rsidR="00941E27" w:rsidRDefault="00941E27" w:rsidP="00C01170">
      <w:pPr>
        <w:rPr>
          <w:rFonts w:ascii="Lato" w:hAnsi="Lato" w:cs="Segoe UI Light"/>
          <w:b/>
          <w:sz w:val="20"/>
          <w:szCs w:val="20"/>
        </w:rPr>
      </w:pPr>
    </w:p>
    <w:p w14:paraId="6B01AE01" w14:textId="2E2E2CBF" w:rsidR="00C01170" w:rsidRPr="00A40382" w:rsidRDefault="00C01170" w:rsidP="00C01170">
      <w:pPr>
        <w:rPr>
          <w:rFonts w:ascii="Lato" w:hAnsi="Lato" w:cs="Segoe UI Light"/>
          <w:b/>
          <w:sz w:val="20"/>
          <w:szCs w:val="20"/>
        </w:rPr>
      </w:pPr>
      <w:r w:rsidRPr="00A40382">
        <w:rPr>
          <w:rFonts w:ascii="Lato" w:hAnsi="Lato" w:cs="Segoe UI Light"/>
          <w:b/>
          <w:sz w:val="20"/>
          <w:szCs w:val="20"/>
        </w:rPr>
        <w:t>Szanowni Państwo,</w:t>
      </w:r>
    </w:p>
    <w:p w14:paraId="3A7D4A82" w14:textId="77777777" w:rsidR="00C01170" w:rsidRPr="00A40382" w:rsidRDefault="00C01170" w:rsidP="00C01170">
      <w:pPr>
        <w:rPr>
          <w:rFonts w:ascii="Lato" w:hAnsi="Lato" w:cs="Segoe UI Light"/>
          <w:b/>
          <w:sz w:val="20"/>
          <w:szCs w:val="20"/>
        </w:rPr>
      </w:pPr>
    </w:p>
    <w:p w14:paraId="73A037AA" w14:textId="5535BBCD" w:rsidR="00F1139C" w:rsidRPr="00A40382" w:rsidRDefault="00C01170" w:rsidP="00C01170">
      <w:pPr>
        <w:jc w:val="both"/>
        <w:rPr>
          <w:rFonts w:ascii="Lato" w:hAnsi="Lato" w:cs="Segoe UI Light"/>
          <w:b/>
          <w:sz w:val="20"/>
          <w:szCs w:val="20"/>
        </w:rPr>
      </w:pPr>
      <w:r w:rsidRPr="00A40382">
        <w:rPr>
          <w:rFonts w:ascii="Lato" w:hAnsi="Lato" w:cs="Segoe UI Light"/>
          <w:b/>
          <w:sz w:val="20"/>
          <w:szCs w:val="20"/>
        </w:rPr>
        <w:t>Alior Bank Spółka Akcyjna</w:t>
      </w:r>
      <w:r w:rsidR="00084974" w:rsidRPr="00A40382">
        <w:rPr>
          <w:rFonts w:ascii="Lato" w:hAnsi="Lato" w:cs="Segoe UI Light"/>
          <w:b/>
          <w:sz w:val="20"/>
          <w:szCs w:val="20"/>
        </w:rPr>
        <w:t xml:space="preserve"> (dalej „Bank” albo „Alior Bank SA”)</w:t>
      </w:r>
      <w:r w:rsidRPr="00A40382">
        <w:rPr>
          <w:rFonts w:ascii="Lato" w:hAnsi="Lato" w:cs="Segoe UI Light"/>
          <w:b/>
          <w:sz w:val="20"/>
          <w:szCs w:val="20"/>
        </w:rPr>
        <w:t xml:space="preserve"> informuje o rozpoczęciu postępowania przetargowego na wybór firmy audytorskiej przeprowadzającej badania i przeglądy sprawozdań finansowych Alior Banku SA oraz jednostek Grupy Alior Banku</w:t>
      </w:r>
      <w:r w:rsidR="00084974" w:rsidRPr="00A40382">
        <w:rPr>
          <w:rFonts w:ascii="Lato" w:hAnsi="Lato" w:cs="Segoe UI Light"/>
          <w:b/>
          <w:sz w:val="20"/>
          <w:szCs w:val="20"/>
        </w:rPr>
        <w:t xml:space="preserve"> SA</w:t>
      </w:r>
      <w:r w:rsidRPr="00A40382">
        <w:rPr>
          <w:rFonts w:ascii="Lato" w:hAnsi="Lato" w:cs="Segoe UI Light"/>
          <w:b/>
          <w:sz w:val="20"/>
          <w:szCs w:val="20"/>
        </w:rPr>
        <w:t xml:space="preserve"> za okres </w:t>
      </w:r>
      <w:r w:rsidR="006A56B9">
        <w:rPr>
          <w:rFonts w:ascii="Lato" w:hAnsi="Lato" w:cs="Segoe UI Light"/>
          <w:b/>
          <w:sz w:val="20"/>
          <w:szCs w:val="20"/>
        </w:rPr>
        <w:t>trzech</w:t>
      </w:r>
      <w:r w:rsidRPr="00A40382">
        <w:rPr>
          <w:rFonts w:ascii="Lato" w:hAnsi="Lato" w:cs="Segoe UI Light"/>
          <w:b/>
          <w:sz w:val="20"/>
          <w:szCs w:val="20"/>
        </w:rPr>
        <w:t xml:space="preserve"> lat obrotowych 202</w:t>
      </w:r>
      <w:r w:rsidR="00A40382" w:rsidRPr="00A40382">
        <w:rPr>
          <w:rFonts w:ascii="Lato" w:hAnsi="Lato" w:cs="Segoe UI Light"/>
          <w:b/>
          <w:sz w:val="20"/>
          <w:szCs w:val="20"/>
        </w:rPr>
        <w:t>4</w:t>
      </w:r>
      <w:r w:rsidRPr="00A40382">
        <w:rPr>
          <w:rFonts w:ascii="Lato" w:hAnsi="Lato" w:cs="Segoe UI Light"/>
          <w:b/>
          <w:sz w:val="20"/>
          <w:szCs w:val="20"/>
        </w:rPr>
        <w:t>-202</w:t>
      </w:r>
      <w:r w:rsidR="006A56B9">
        <w:rPr>
          <w:rFonts w:ascii="Lato" w:hAnsi="Lato" w:cs="Segoe UI Light"/>
          <w:b/>
          <w:sz w:val="20"/>
          <w:szCs w:val="20"/>
        </w:rPr>
        <w:t>6</w:t>
      </w:r>
      <w:r w:rsidRPr="00A40382">
        <w:rPr>
          <w:rFonts w:ascii="Lato" w:hAnsi="Lato" w:cs="Segoe UI Light"/>
          <w:b/>
          <w:sz w:val="20"/>
          <w:szCs w:val="20"/>
        </w:rPr>
        <w:t xml:space="preserve"> z opcją przedłużenia umowy na </w:t>
      </w:r>
      <w:r w:rsidR="00772D9D">
        <w:rPr>
          <w:rFonts w:ascii="Lato" w:hAnsi="Lato" w:cs="Segoe UI Light"/>
          <w:b/>
          <w:sz w:val="20"/>
          <w:szCs w:val="20"/>
        </w:rPr>
        <w:t xml:space="preserve">dwa </w:t>
      </w:r>
      <w:r w:rsidR="006A56B9">
        <w:rPr>
          <w:rFonts w:ascii="Lato" w:hAnsi="Lato" w:cs="Segoe UI Light"/>
          <w:b/>
          <w:sz w:val="20"/>
          <w:szCs w:val="20"/>
        </w:rPr>
        <w:t xml:space="preserve">dwuletnie </w:t>
      </w:r>
      <w:r w:rsidRPr="00A40382">
        <w:rPr>
          <w:rFonts w:ascii="Lato" w:hAnsi="Lato" w:cs="Segoe UI Light"/>
          <w:b/>
          <w:sz w:val="20"/>
          <w:szCs w:val="20"/>
        </w:rPr>
        <w:t xml:space="preserve">kolejne </w:t>
      </w:r>
      <w:r w:rsidR="006A56B9">
        <w:rPr>
          <w:rFonts w:ascii="Lato" w:hAnsi="Lato" w:cs="Segoe UI Light"/>
          <w:b/>
          <w:sz w:val="20"/>
          <w:szCs w:val="20"/>
        </w:rPr>
        <w:t xml:space="preserve">okresy : </w:t>
      </w:r>
      <w:r w:rsidRPr="00A40382">
        <w:rPr>
          <w:rFonts w:ascii="Lato" w:hAnsi="Lato" w:cs="Segoe UI Light"/>
          <w:b/>
          <w:sz w:val="20"/>
          <w:szCs w:val="20"/>
        </w:rPr>
        <w:t>lata obrotowe</w:t>
      </w:r>
      <w:r w:rsidR="006A56B9">
        <w:rPr>
          <w:rFonts w:ascii="Lato" w:hAnsi="Lato" w:cs="Segoe UI Light"/>
          <w:b/>
          <w:sz w:val="20"/>
          <w:szCs w:val="20"/>
        </w:rPr>
        <w:t xml:space="preserve"> </w:t>
      </w:r>
      <w:r w:rsidR="00772D9D">
        <w:rPr>
          <w:rFonts w:ascii="Lato" w:hAnsi="Lato" w:cs="Segoe UI Light"/>
          <w:b/>
          <w:sz w:val="20"/>
          <w:szCs w:val="20"/>
        </w:rPr>
        <w:t>( 202</w:t>
      </w:r>
      <w:r w:rsidR="006A56B9">
        <w:rPr>
          <w:rFonts w:ascii="Lato" w:hAnsi="Lato" w:cs="Segoe UI Light"/>
          <w:b/>
          <w:sz w:val="20"/>
          <w:szCs w:val="20"/>
        </w:rPr>
        <w:t>7</w:t>
      </w:r>
      <w:r w:rsidR="00772D9D">
        <w:rPr>
          <w:rFonts w:ascii="Lato" w:hAnsi="Lato" w:cs="Segoe UI Light"/>
          <w:b/>
          <w:sz w:val="20"/>
          <w:szCs w:val="20"/>
        </w:rPr>
        <w:t>-2</w:t>
      </w:r>
      <w:r w:rsidR="006A56B9">
        <w:rPr>
          <w:rFonts w:ascii="Lato" w:hAnsi="Lato" w:cs="Segoe UI Light"/>
          <w:b/>
          <w:sz w:val="20"/>
          <w:szCs w:val="20"/>
        </w:rPr>
        <w:t>028</w:t>
      </w:r>
      <w:r w:rsidR="00772D9D">
        <w:rPr>
          <w:rFonts w:ascii="Lato" w:hAnsi="Lato" w:cs="Segoe UI Light"/>
          <w:b/>
          <w:sz w:val="20"/>
          <w:szCs w:val="20"/>
        </w:rPr>
        <w:t>)</w:t>
      </w:r>
      <w:r w:rsidR="006A56B9">
        <w:rPr>
          <w:rFonts w:ascii="Lato" w:hAnsi="Lato" w:cs="Segoe UI Light"/>
          <w:b/>
          <w:sz w:val="20"/>
          <w:szCs w:val="20"/>
        </w:rPr>
        <w:t xml:space="preserve"> oraz lata obrotowe (2029-2030).</w:t>
      </w:r>
    </w:p>
    <w:p w14:paraId="5AA9B957" w14:textId="404C498F" w:rsidR="00BD606E" w:rsidRPr="00941E27" w:rsidRDefault="004637C2" w:rsidP="004637C2">
      <w:pPr>
        <w:jc w:val="both"/>
        <w:rPr>
          <w:rFonts w:ascii="Lato" w:hAnsi="Lato" w:cs="Segoe UI Light"/>
          <w:sz w:val="20"/>
          <w:szCs w:val="20"/>
        </w:rPr>
      </w:pPr>
      <w:r w:rsidRPr="00A40382">
        <w:rPr>
          <w:rFonts w:ascii="Lato" w:hAnsi="Lato" w:cs="Segoe UI Light"/>
          <w:sz w:val="20"/>
          <w:szCs w:val="20"/>
        </w:rPr>
        <w:t xml:space="preserve">Bank przy dokonywaniu wyboru firmy audytorskiej kieruje się zasadami zgodnymi z etyką biznesu, dążąc do przejrzystych relacji z kontrahentami. Bank oczekuje, iż dostawcy będą respektować zasady dotyczące: ryzyka, społecznej odpowiedzialności biznesu oraz polityki antykorupcyjnej. </w:t>
      </w:r>
    </w:p>
    <w:p w14:paraId="4429A57F" w14:textId="1784BF40" w:rsidR="00F1139C" w:rsidRPr="00BE135F" w:rsidRDefault="00F1139C" w:rsidP="004637C2">
      <w:pPr>
        <w:jc w:val="both"/>
        <w:rPr>
          <w:rFonts w:ascii="Lato" w:hAnsi="Lato" w:cs="Segoe UI Light"/>
          <w:b/>
          <w:sz w:val="20"/>
          <w:szCs w:val="20"/>
          <w:u w:val="single"/>
        </w:rPr>
      </w:pPr>
      <w:r w:rsidRPr="00BE135F">
        <w:rPr>
          <w:rFonts w:ascii="Lato" w:hAnsi="Lato" w:cs="Segoe UI Light"/>
          <w:b/>
          <w:sz w:val="20"/>
          <w:szCs w:val="20"/>
          <w:u w:val="single"/>
        </w:rPr>
        <w:t>Opis przedmiotu zamówienia</w:t>
      </w:r>
    </w:p>
    <w:p w14:paraId="0CBED84D" w14:textId="30454562" w:rsidR="002D64B9" w:rsidRPr="00A40382" w:rsidRDefault="002D64B9" w:rsidP="00A40382">
      <w:pPr>
        <w:jc w:val="both"/>
        <w:rPr>
          <w:rFonts w:ascii="Lato" w:hAnsi="Lato" w:cs="Segoe UI Light"/>
          <w:sz w:val="20"/>
          <w:szCs w:val="20"/>
        </w:rPr>
      </w:pPr>
      <w:r w:rsidRPr="00A40382">
        <w:rPr>
          <w:rFonts w:ascii="Lato" w:hAnsi="Lato" w:cs="Segoe UI Light"/>
          <w:sz w:val="20"/>
          <w:szCs w:val="20"/>
        </w:rPr>
        <w:t xml:space="preserve">Przedmiotem postepowania jest wybór firmy audytorskiej na okres </w:t>
      </w:r>
      <w:r w:rsidR="006A56B9">
        <w:rPr>
          <w:rFonts w:ascii="Lato" w:hAnsi="Lato" w:cs="Segoe UI Light"/>
          <w:sz w:val="20"/>
          <w:szCs w:val="20"/>
        </w:rPr>
        <w:t>trzech</w:t>
      </w:r>
      <w:r w:rsidRPr="00A40382">
        <w:rPr>
          <w:rFonts w:ascii="Lato" w:hAnsi="Lato" w:cs="Segoe UI Light"/>
          <w:sz w:val="20"/>
          <w:szCs w:val="20"/>
        </w:rPr>
        <w:t xml:space="preserve"> lat obrotowych (202</w:t>
      </w:r>
      <w:r w:rsidR="00A40382" w:rsidRPr="00A40382">
        <w:rPr>
          <w:rFonts w:ascii="Lato" w:hAnsi="Lato" w:cs="Segoe UI Light"/>
          <w:sz w:val="20"/>
          <w:szCs w:val="20"/>
        </w:rPr>
        <w:t>4</w:t>
      </w:r>
      <w:r w:rsidRPr="00A40382">
        <w:rPr>
          <w:rFonts w:ascii="Lato" w:hAnsi="Lato" w:cs="Segoe UI Light"/>
          <w:sz w:val="20"/>
          <w:szCs w:val="20"/>
        </w:rPr>
        <w:t>-202</w:t>
      </w:r>
      <w:r w:rsidR="006A56B9">
        <w:rPr>
          <w:rFonts w:ascii="Lato" w:hAnsi="Lato" w:cs="Segoe UI Light"/>
          <w:sz w:val="20"/>
          <w:szCs w:val="20"/>
        </w:rPr>
        <w:t>6</w:t>
      </w:r>
      <w:r w:rsidRPr="00A40382">
        <w:rPr>
          <w:rFonts w:ascii="Lato" w:hAnsi="Lato" w:cs="Segoe UI Light"/>
          <w:sz w:val="20"/>
          <w:szCs w:val="20"/>
        </w:rPr>
        <w:t xml:space="preserve">) z opcją przedłużenia umowy na </w:t>
      </w:r>
      <w:r w:rsidR="00772D9D">
        <w:rPr>
          <w:rFonts w:ascii="Lato" w:hAnsi="Lato" w:cs="Segoe UI Light"/>
          <w:sz w:val="20"/>
          <w:szCs w:val="20"/>
        </w:rPr>
        <w:t xml:space="preserve">dwa </w:t>
      </w:r>
      <w:r w:rsidR="006A56B9">
        <w:rPr>
          <w:rFonts w:ascii="Lato" w:hAnsi="Lato" w:cs="Segoe UI Light"/>
          <w:sz w:val="20"/>
          <w:szCs w:val="20"/>
        </w:rPr>
        <w:t xml:space="preserve">dwuletnie </w:t>
      </w:r>
      <w:r w:rsidRPr="00A40382">
        <w:rPr>
          <w:rFonts w:ascii="Lato" w:hAnsi="Lato" w:cs="Segoe UI Light"/>
          <w:sz w:val="20"/>
          <w:szCs w:val="20"/>
        </w:rPr>
        <w:t xml:space="preserve">kolejne </w:t>
      </w:r>
      <w:r w:rsidR="006A56B9">
        <w:rPr>
          <w:rFonts w:ascii="Lato" w:hAnsi="Lato" w:cs="Segoe UI Light"/>
          <w:sz w:val="20"/>
          <w:szCs w:val="20"/>
        </w:rPr>
        <w:t>okresy, do</w:t>
      </w:r>
      <w:r w:rsidR="001E19C5" w:rsidRPr="00A40382">
        <w:rPr>
          <w:rFonts w:ascii="Lato" w:hAnsi="Lato" w:cs="Segoe UI Light"/>
          <w:sz w:val="20"/>
          <w:szCs w:val="20"/>
        </w:rPr>
        <w:t xml:space="preserve"> </w:t>
      </w:r>
      <w:r w:rsidR="00015FF3" w:rsidRPr="00A40382">
        <w:rPr>
          <w:rFonts w:ascii="Lato" w:hAnsi="Lato" w:cs="Segoe UI Light"/>
          <w:sz w:val="20"/>
          <w:szCs w:val="20"/>
        </w:rPr>
        <w:t xml:space="preserve">przeprowadzenia </w:t>
      </w:r>
      <w:r w:rsidR="00DD5B99" w:rsidRPr="00A40382">
        <w:rPr>
          <w:rFonts w:ascii="Lato" w:hAnsi="Lato" w:cs="Segoe UI Light"/>
          <w:sz w:val="20"/>
          <w:szCs w:val="20"/>
        </w:rPr>
        <w:t>badań i przeglądów</w:t>
      </w:r>
      <w:r w:rsidR="00015FF3" w:rsidRPr="00A40382">
        <w:rPr>
          <w:rFonts w:ascii="Lato" w:hAnsi="Lato" w:cs="Segoe UI Light"/>
          <w:sz w:val="20"/>
          <w:szCs w:val="20"/>
        </w:rPr>
        <w:t xml:space="preserve"> niżej wymienionych sprawozdań </w:t>
      </w:r>
      <w:r w:rsidR="001E19C5" w:rsidRPr="00A40382">
        <w:rPr>
          <w:rFonts w:ascii="Lato" w:hAnsi="Lato" w:cs="Segoe UI Light"/>
          <w:sz w:val="20"/>
          <w:szCs w:val="20"/>
        </w:rPr>
        <w:t>oraz</w:t>
      </w:r>
      <w:r w:rsidR="00015FF3" w:rsidRPr="00A40382">
        <w:rPr>
          <w:rFonts w:ascii="Lato" w:hAnsi="Lato" w:cs="Segoe UI Light"/>
          <w:sz w:val="20"/>
          <w:szCs w:val="20"/>
        </w:rPr>
        <w:t xml:space="preserve"> dokonania niżej wymienionych</w:t>
      </w:r>
      <w:r w:rsidR="001E19C5" w:rsidRPr="00A40382">
        <w:rPr>
          <w:rFonts w:ascii="Lato" w:hAnsi="Lato" w:cs="Segoe UI Light"/>
          <w:sz w:val="20"/>
          <w:szCs w:val="20"/>
        </w:rPr>
        <w:t xml:space="preserve"> usług w odniesieniu do Banku i jego podmiotów zależnych</w:t>
      </w:r>
      <w:r w:rsidRPr="00A40382">
        <w:rPr>
          <w:rFonts w:ascii="Lato" w:hAnsi="Lato" w:cs="Segoe UI Light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928"/>
        <w:gridCol w:w="4163"/>
      </w:tblGrid>
      <w:tr w:rsidR="008C3A5F" w:rsidRPr="00A40382" w14:paraId="71DCDDFF" w14:textId="77777777" w:rsidTr="008C3A5F">
        <w:trPr>
          <w:trHeight w:val="1410"/>
        </w:trPr>
        <w:tc>
          <w:tcPr>
            <w:tcW w:w="2191" w:type="pct"/>
            <w:vMerge w:val="restart"/>
            <w:shd w:val="clear" w:color="auto" w:fill="auto"/>
            <w:vAlign w:val="center"/>
            <w:hideMark/>
          </w:tcPr>
          <w:p w14:paraId="107CA950" w14:textId="77777777" w:rsidR="008C3A5F" w:rsidRPr="00A40382" w:rsidRDefault="008C3A5F" w:rsidP="008C3A5F">
            <w:pPr>
              <w:spacing w:after="0" w:line="240" w:lineRule="auto"/>
              <w:rPr>
                <w:rFonts w:ascii="Lato" w:eastAsia="Times New Roman" w:hAnsi="Lato" w:cs="Segoe UI Light"/>
                <w:b/>
                <w:bCs/>
                <w:sz w:val="20"/>
                <w:szCs w:val="20"/>
                <w:lang w:eastAsia="pl-PL"/>
              </w:rPr>
            </w:pPr>
            <w:r w:rsidRPr="00A40382">
              <w:rPr>
                <w:rFonts w:ascii="Lato" w:eastAsia="Times New Roman" w:hAnsi="Lato" w:cs="Segoe UI Light"/>
                <w:b/>
                <w:bCs/>
                <w:sz w:val="20"/>
                <w:szCs w:val="20"/>
                <w:lang w:eastAsia="pl-PL"/>
              </w:rPr>
              <w:t>Alior Bank SA</w:t>
            </w:r>
          </w:p>
        </w:tc>
        <w:tc>
          <w:tcPr>
            <w:tcW w:w="512" w:type="pct"/>
            <w:vMerge w:val="restart"/>
            <w:shd w:val="clear" w:color="000000" w:fill="FFFFFF"/>
            <w:vAlign w:val="center"/>
            <w:hideMark/>
          </w:tcPr>
          <w:p w14:paraId="19782367" w14:textId="77777777" w:rsidR="008C3A5F" w:rsidRPr="00A40382" w:rsidRDefault="008C3A5F" w:rsidP="008C3A5F">
            <w:pPr>
              <w:spacing w:after="0" w:line="240" w:lineRule="auto"/>
              <w:jc w:val="center"/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</w:pPr>
            <w:r w:rsidRPr="00A40382"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  <w:t>MSSF</w:t>
            </w:r>
          </w:p>
        </w:tc>
        <w:tc>
          <w:tcPr>
            <w:tcW w:w="2297" w:type="pct"/>
            <w:shd w:val="clear" w:color="000000" w:fill="FFFFFF"/>
            <w:vAlign w:val="center"/>
            <w:hideMark/>
          </w:tcPr>
          <w:p w14:paraId="30F2E8E1" w14:textId="77777777" w:rsidR="008C3A5F" w:rsidRPr="00A40382" w:rsidRDefault="008C3A5F" w:rsidP="008C3A5F">
            <w:pPr>
              <w:spacing w:after="0" w:line="240" w:lineRule="auto"/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</w:pPr>
            <w:r w:rsidRPr="00A40382"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  <w:t xml:space="preserve">Śródroczne </w:t>
            </w:r>
            <w:bookmarkStart w:id="0" w:name="_Hlk105399206"/>
            <w:r w:rsidRPr="00A40382"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  <w:t>skonsolidowane raporty finansowe Grupy Alior Banku SA</w:t>
            </w:r>
            <w:bookmarkEnd w:id="0"/>
            <w:r w:rsidRPr="00A40382"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  <w:t>, zawierające śródroczne sprawozdania finansowe Alior Banku SA (łącznie z przeglądem pakietów konsolidacyjnych jednostek podlegających konsolidacji)</w:t>
            </w:r>
          </w:p>
        </w:tc>
      </w:tr>
      <w:tr w:rsidR="008C3A5F" w:rsidRPr="00A40382" w14:paraId="43048930" w14:textId="77777777" w:rsidTr="008C3A5F">
        <w:trPr>
          <w:trHeight w:val="315"/>
        </w:trPr>
        <w:tc>
          <w:tcPr>
            <w:tcW w:w="2191" w:type="pct"/>
            <w:vMerge/>
            <w:vAlign w:val="center"/>
            <w:hideMark/>
          </w:tcPr>
          <w:p w14:paraId="413D6CCF" w14:textId="77777777" w:rsidR="008C3A5F" w:rsidRPr="00A40382" w:rsidRDefault="008C3A5F" w:rsidP="008C3A5F">
            <w:pPr>
              <w:spacing w:after="0" w:line="240" w:lineRule="auto"/>
              <w:rPr>
                <w:rFonts w:ascii="Lato" w:eastAsia="Times New Roman" w:hAnsi="Lato" w:cs="Segoe U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6C840DB3" w14:textId="77777777" w:rsidR="008C3A5F" w:rsidRPr="00A40382" w:rsidRDefault="008C3A5F" w:rsidP="008C3A5F">
            <w:pPr>
              <w:spacing w:after="0" w:line="240" w:lineRule="auto"/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</w:pPr>
          </w:p>
        </w:tc>
        <w:tc>
          <w:tcPr>
            <w:tcW w:w="2297" w:type="pct"/>
            <w:shd w:val="clear" w:color="000000" w:fill="FFFFFF"/>
            <w:vAlign w:val="center"/>
            <w:hideMark/>
          </w:tcPr>
          <w:p w14:paraId="210E7754" w14:textId="77777777" w:rsidR="008C3A5F" w:rsidRPr="00A40382" w:rsidRDefault="008C3A5F" w:rsidP="008C3A5F">
            <w:pPr>
              <w:spacing w:after="0" w:line="240" w:lineRule="auto"/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</w:pPr>
            <w:r w:rsidRPr="00A40382"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  <w:t>Sprawozdania statutowe roczne</w:t>
            </w:r>
          </w:p>
        </w:tc>
      </w:tr>
      <w:tr w:rsidR="008C3A5F" w:rsidRPr="00A40382" w14:paraId="0A7630BB" w14:textId="77777777" w:rsidTr="008C3A5F">
        <w:trPr>
          <w:trHeight w:val="499"/>
        </w:trPr>
        <w:tc>
          <w:tcPr>
            <w:tcW w:w="2191" w:type="pct"/>
            <w:vMerge/>
            <w:vAlign w:val="center"/>
            <w:hideMark/>
          </w:tcPr>
          <w:p w14:paraId="200FCEB5" w14:textId="77777777" w:rsidR="008C3A5F" w:rsidRPr="00A40382" w:rsidRDefault="008C3A5F" w:rsidP="008C3A5F">
            <w:pPr>
              <w:spacing w:after="0" w:line="240" w:lineRule="auto"/>
              <w:rPr>
                <w:rFonts w:ascii="Lato" w:eastAsia="Times New Roman" w:hAnsi="Lato" w:cs="Segoe U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1979A82F" w14:textId="77777777" w:rsidR="008C3A5F" w:rsidRPr="00A40382" w:rsidRDefault="008C3A5F" w:rsidP="008C3A5F">
            <w:pPr>
              <w:spacing w:after="0" w:line="240" w:lineRule="auto"/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</w:pPr>
          </w:p>
        </w:tc>
        <w:tc>
          <w:tcPr>
            <w:tcW w:w="2297" w:type="pct"/>
            <w:shd w:val="clear" w:color="000000" w:fill="FFFFFF"/>
            <w:vAlign w:val="center"/>
            <w:hideMark/>
          </w:tcPr>
          <w:p w14:paraId="6B35CFEA" w14:textId="77777777" w:rsidR="008C3A5F" w:rsidRPr="00A40382" w:rsidRDefault="008C3A5F" w:rsidP="008C3A5F">
            <w:pPr>
              <w:spacing w:after="0" w:line="240" w:lineRule="auto"/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</w:pPr>
            <w:r w:rsidRPr="00A40382"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  <w:t>Sprawozdania skonsolidowane roczne</w:t>
            </w:r>
          </w:p>
        </w:tc>
      </w:tr>
      <w:tr w:rsidR="008C3A5F" w:rsidRPr="00A40382" w14:paraId="3A0B0CCA" w14:textId="77777777" w:rsidTr="00684285">
        <w:trPr>
          <w:trHeight w:val="642"/>
        </w:trPr>
        <w:tc>
          <w:tcPr>
            <w:tcW w:w="2191" w:type="pct"/>
            <w:vMerge/>
            <w:tcBorders>
              <w:bottom w:val="nil"/>
            </w:tcBorders>
            <w:vAlign w:val="center"/>
            <w:hideMark/>
          </w:tcPr>
          <w:p w14:paraId="73383EFC" w14:textId="77777777" w:rsidR="008C3A5F" w:rsidRPr="00A40382" w:rsidRDefault="008C3A5F" w:rsidP="008C3A5F">
            <w:pPr>
              <w:spacing w:after="0" w:line="240" w:lineRule="auto"/>
              <w:rPr>
                <w:rFonts w:ascii="Lato" w:eastAsia="Times New Roman" w:hAnsi="Lato" w:cs="Segoe U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FD54D92" w14:textId="77777777" w:rsidR="008C3A5F" w:rsidRPr="00A40382" w:rsidRDefault="008C3A5F" w:rsidP="008C3A5F">
            <w:pPr>
              <w:spacing w:after="0" w:line="240" w:lineRule="auto"/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</w:pPr>
          </w:p>
        </w:tc>
        <w:tc>
          <w:tcPr>
            <w:tcW w:w="2297" w:type="pct"/>
            <w:shd w:val="clear" w:color="000000" w:fill="FFFFFF"/>
            <w:vAlign w:val="center"/>
            <w:hideMark/>
          </w:tcPr>
          <w:p w14:paraId="450DB5FA" w14:textId="7B554A9B" w:rsidR="008C3A5F" w:rsidRPr="00A40382" w:rsidRDefault="000A1022" w:rsidP="008C3A5F">
            <w:pPr>
              <w:spacing w:after="0" w:line="240" w:lineRule="auto"/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</w:pPr>
            <w:r w:rsidRPr="000A1022"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  <w:t>Pakiety konsolidacyjne sporządzone zgodnie z MSSF</w:t>
            </w:r>
          </w:p>
        </w:tc>
      </w:tr>
      <w:tr w:rsidR="000A1022" w:rsidRPr="00A40382" w14:paraId="479CDC42" w14:textId="77777777" w:rsidTr="00684285">
        <w:trPr>
          <w:trHeight w:val="330"/>
        </w:trPr>
        <w:tc>
          <w:tcPr>
            <w:tcW w:w="2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A6061" w14:textId="77777777" w:rsidR="000A1022" w:rsidRPr="000E61CA" w:rsidRDefault="000A1022" w:rsidP="008C3A5F">
            <w:pPr>
              <w:spacing w:after="0" w:line="240" w:lineRule="auto"/>
              <w:rPr>
                <w:rFonts w:ascii="Lato" w:eastAsia="Times New Roman" w:hAnsi="Lato" w:cs="Segoe U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7A503BCE" w14:textId="1EFE1C47" w:rsidR="000A1022" w:rsidRPr="00A40382" w:rsidRDefault="00684285" w:rsidP="008C3A5F">
            <w:pPr>
              <w:spacing w:after="0" w:line="240" w:lineRule="auto"/>
              <w:jc w:val="center"/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2297" w:type="pct"/>
            <w:shd w:val="clear" w:color="000000" w:fill="FFFFFF"/>
            <w:vAlign w:val="center"/>
          </w:tcPr>
          <w:p w14:paraId="7313547B" w14:textId="12B5EFB8" w:rsidR="000A1022" w:rsidRPr="00A40382" w:rsidRDefault="000A1022" w:rsidP="008C3A5F">
            <w:pPr>
              <w:spacing w:after="0" w:line="240" w:lineRule="auto"/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</w:pPr>
            <w:r w:rsidRPr="000A1022"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  <w:t>Sprawozdania o wynagrodzeniach członków Zarządu i Rady Nadzorczej</w:t>
            </w:r>
          </w:p>
        </w:tc>
      </w:tr>
      <w:tr w:rsidR="000A1022" w:rsidRPr="00A40382" w14:paraId="6442830F" w14:textId="77777777" w:rsidTr="00684285">
        <w:trPr>
          <w:trHeight w:val="330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FF03" w14:textId="77777777" w:rsidR="000A1022" w:rsidRPr="000E61CA" w:rsidRDefault="000A1022" w:rsidP="008C3A5F">
            <w:pPr>
              <w:spacing w:after="0" w:line="240" w:lineRule="auto"/>
              <w:rPr>
                <w:rFonts w:ascii="Lato" w:eastAsia="Times New Roman" w:hAnsi="Lato" w:cs="Segoe U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06ADC86" w14:textId="3DEE1BD9" w:rsidR="000A1022" w:rsidRPr="00A40382" w:rsidRDefault="00684285" w:rsidP="008C3A5F">
            <w:pPr>
              <w:spacing w:after="0" w:line="240" w:lineRule="auto"/>
              <w:jc w:val="center"/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  <w:t>n/d</w:t>
            </w:r>
          </w:p>
        </w:tc>
        <w:tc>
          <w:tcPr>
            <w:tcW w:w="2297" w:type="pct"/>
            <w:shd w:val="clear" w:color="000000" w:fill="FFFFFF"/>
            <w:vAlign w:val="center"/>
          </w:tcPr>
          <w:p w14:paraId="0E9AD0A2" w14:textId="7ADD2B92" w:rsidR="000A1022" w:rsidRPr="00A40382" w:rsidRDefault="000A1022" w:rsidP="008C3A5F">
            <w:pPr>
              <w:spacing w:after="0" w:line="240" w:lineRule="auto"/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</w:pPr>
            <w:r w:rsidRPr="00A40382"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  <w:t>Usługa poświadczająca polegająca na ocenie wypełnienia przez Biuro Maklerskie Alior Banku S.A. wymogów, wynikających z Rozporządzenia Ministra Finansów z dnia 24 września 2012 roku w sprawie trybu i warunków postępowania firm inwestycyjnych, banków, o których mowa w art. 70 ust. 2 ustawy o obrocie instrumentami finansowymi, oraz banków powierniczych (Dz. U. z 2015 r., poz 878), w zakresie przechowywania aktywów klienta w roku obrotowym</w:t>
            </w:r>
          </w:p>
        </w:tc>
      </w:tr>
      <w:tr w:rsidR="008C3A5F" w:rsidRPr="00A40382" w14:paraId="3E98A961" w14:textId="77777777" w:rsidTr="00684285">
        <w:trPr>
          <w:trHeight w:val="330"/>
        </w:trPr>
        <w:tc>
          <w:tcPr>
            <w:tcW w:w="219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0227FE" w14:textId="4796C93C" w:rsidR="008C3A5F" w:rsidRPr="00A40382" w:rsidRDefault="008C3A5F" w:rsidP="008C3A5F">
            <w:pPr>
              <w:spacing w:after="0" w:line="240" w:lineRule="auto"/>
              <w:rPr>
                <w:rFonts w:ascii="Lato" w:eastAsia="Times New Roman" w:hAnsi="Lato" w:cs="Segoe UI Light"/>
                <w:b/>
                <w:bCs/>
                <w:sz w:val="20"/>
                <w:szCs w:val="20"/>
                <w:lang w:val="en-US" w:eastAsia="pl-PL"/>
              </w:rPr>
            </w:pPr>
            <w:r w:rsidRPr="00A40382">
              <w:rPr>
                <w:rFonts w:ascii="Lato" w:eastAsia="Times New Roman" w:hAnsi="Lato" w:cs="Segoe UI Light"/>
                <w:b/>
                <w:bCs/>
                <w:sz w:val="20"/>
                <w:szCs w:val="20"/>
                <w:lang w:val="en-US" w:eastAsia="pl-PL"/>
              </w:rPr>
              <w:t>Alior Leasing sp</w:t>
            </w:r>
            <w:r w:rsidR="00A40382" w:rsidRPr="00A40382">
              <w:rPr>
                <w:rFonts w:ascii="Lato" w:eastAsia="Times New Roman" w:hAnsi="Lato" w:cs="Segoe UI Light"/>
                <w:b/>
                <w:bCs/>
                <w:sz w:val="20"/>
                <w:szCs w:val="20"/>
                <w:lang w:val="en-US" w:eastAsia="pl-PL"/>
              </w:rPr>
              <w:t>.</w:t>
            </w:r>
            <w:r w:rsidRPr="00A40382">
              <w:rPr>
                <w:rFonts w:ascii="Lato" w:eastAsia="Times New Roman" w:hAnsi="Lato" w:cs="Segoe UI Light"/>
                <w:b/>
                <w:bCs/>
                <w:sz w:val="20"/>
                <w:szCs w:val="20"/>
                <w:lang w:val="en-US" w:eastAsia="pl-PL"/>
              </w:rPr>
              <w:t xml:space="preserve"> z o.</w:t>
            </w:r>
            <w:r w:rsidR="00A40382" w:rsidRPr="00A40382">
              <w:rPr>
                <w:rFonts w:ascii="Lato" w:eastAsia="Times New Roman" w:hAnsi="Lato" w:cs="Segoe UI Light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r w:rsidRPr="00A40382">
              <w:rPr>
                <w:rFonts w:ascii="Lato" w:eastAsia="Times New Roman" w:hAnsi="Lato" w:cs="Segoe UI Light"/>
                <w:b/>
                <w:bCs/>
                <w:sz w:val="20"/>
                <w:szCs w:val="20"/>
                <w:lang w:val="en-US" w:eastAsia="pl-PL"/>
              </w:rPr>
              <w:t>o.</w:t>
            </w: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5014A" w14:textId="77777777" w:rsidR="008C3A5F" w:rsidRPr="00A40382" w:rsidRDefault="008C3A5F" w:rsidP="008C3A5F">
            <w:pPr>
              <w:spacing w:after="0" w:line="240" w:lineRule="auto"/>
              <w:jc w:val="center"/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</w:pPr>
            <w:r w:rsidRPr="00A40382"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  <w:t>MSSF</w:t>
            </w:r>
          </w:p>
        </w:tc>
        <w:tc>
          <w:tcPr>
            <w:tcW w:w="2297" w:type="pct"/>
            <w:shd w:val="clear" w:color="000000" w:fill="FFFFFF"/>
            <w:vAlign w:val="center"/>
            <w:hideMark/>
          </w:tcPr>
          <w:p w14:paraId="5BCF6669" w14:textId="77777777" w:rsidR="008C3A5F" w:rsidRPr="00A40382" w:rsidRDefault="008C3A5F" w:rsidP="008C3A5F">
            <w:pPr>
              <w:spacing w:after="0" w:line="240" w:lineRule="auto"/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</w:pPr>
            <w:r w:rsidRPr="00A40382"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  <w:t>Sprawozdania statutowe</w:t>
            </w:r>
          </w:p>
        </w:tc>
      </w:tr>
      <w:tr w:rsidR="00A40382" w:rsidRPr="00A40382" w14:paraId="0CEF1941" w14:textId="77777777" w:rsidTr="00AA5215">
        <w:trPr>
          <w:trHeight w:val="330"/>
        </w:trPr>
        <w:tc>
          <w:tcPr>
            <w:tcW w:w="2191" w:type="pct"/>
            <w:shd w:val="clear" w:color="auto" w:fill="auto"/>
            <w:vAlign w:val="center"/>
            <w:hideMark/>
          </w:tcPr>
          <w:p w14:paraId="3BA520F0" w14:textId="62F0B684" w:rsidR="00A40382" w:rsidRPr="00A40382" w:rsidRDefault="00A40382" w:rsidP="00AA5215">
            <w:pPr>
              <w:spacing w:after="0" w:line="240" w:lineRule="auto"/>
              <w:rPr>
                <w:rFonts w:ascii="Lato" w:eastAsia="Times New Roman" w:hAnsi="Lato" w:cs="Segoe UI Light"/>
                <w:b/>
                <w:bCs/>
                <w:sz w:val="20"/>
                <w:szCs w:val="20"/>
                <w:lang w:val="en-US" w:eastAsia="pl-PL"/>
              </w:rPr>
            </w:pPr>
            <w:r w:rsidRPr="00A40382">
              <w:rPr>
                <w:rFonts w:ascii="Lato" w:eastAsia="Times New Roman" w:hAnsi="Lato" w:cs="Segoe UI Light"/>
                <w:b/>
                <w:bCs/>
                <w:sz w:val="20"/>
                <w:szCs w:val="20"/>
                <w:lang w:val="en-US" w:eastAsia="pl-PL"/>
              </w:rPr>
              <w:t>AL Finance sp. z o. o.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48ED7A05" w14:textId="77777777" w:rsidR="00A40382" w:rsidRPr="00A40382" w:rsidRDefault="00A40382" w:rsidP="00AA5215">
            <w:pPr>
              <w:spacing w:after="0" w:line="240" w:lineRule="auto"/>
              <w:jc w:val="center"/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</w:pPr>
            <w:r w:rsidRPr="00A40382"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  <w:t>MSSF</w:t>
            </w:r>
          </w:p>
        </w:tc>
        <w:tc>
          <w:tcPr>
            <w:tcW w:w="2297" w:type="pct"/>
            <w:shd w:val="clear" w:color="000000" w:fill="FFFFFF"/>
            <w:vAlign w:val="center"/>
            <w:hideMark/>
          </w:tcPr>
          <w:p w14:paraId="596EDBB2" w14:textId="77777777" w:rsidR="00A40382" w:rsidRPr="00A40382" w:rsidRDefault="00A40382" w:rsidP="00AA5215">
            <w:pPr>
              <w:spacing w:after="0" w:line="240" w:lineRule="auto"/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</w:pPr>
            <w:r w:rsidRPr="00A40382"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  <w:t>Sprawozdania statutowe</w:t>
            </w:r>
          </w:p>
        </w:tc>
      </w:tr>
    </w:tbl>
    <w:p w14:paraId="096146C5" w14:textId="701FB2B3" w:rsidR="008C3A5F" w:rsidRPr="0034336C" w:rsidRDefault="008C3A5F" w:rsidP="0034336C">
      <w:pPr>
        <w:rPr>
          <w:rFonts w:ascii="Lato" w:hAnsi="Lato" w:cs="Segoe UI Light"/>
          <w:sz w:val="20"/>
          <w:szCs w:val="20"/>
        </w:rPr>
      </w:pPr>
    </w:p>
    <w:p w14:paraId="2E2A3906" w14:textId="77777777" w:rsidR="001B485B" w:rsidRDefault="0034336C" w:rsidP="00C40EF9">
      <w:pPr>
        <w:spacing w:before="120" w:after="120" w:line="276" w:lineRule="auto"/>
        <w:contextualSpacing/>
        <w:jc w:val="both"/>
        <w:rPr>
          <w:rStyle w:val="Hipercze"/>
          <w:rFonts w:ascii="Lato" w:hAnsi="Lato" w:cs="Arial"/>
          <w:sz w:val="20"/>
          <w:szCs w:val="20"/>
        </w:rPr>
      </w:pPr>
      <w:r w:rsidRPr="0034336C">
        <w:rPr>
          <w:rFonts w:ascii="Lato" w:hAnsi="Lato" w:cs="Arial"/>
          <w:sz w:val="20"/>
          <w:szCs w:val="20"/>
        </w:rPr>
        <w:t>Przez MSSF, należy rozumieć Międzynarodowe Standardy</w:t>
      </w:r>
      <w:r w:rsidR="00301C90">
        <w:rPr>
          <w:rFonts w:ascii="Lato" w:hAnsi="Lato"/>
          <w:sz w:val="20"/>
          <w:szCs w:val="20"/>
        </w:rPr>
        <w:t xml:space="preserve"> </w:t>
      </w:r>
      <w:r w:rsidRPr="0034336C">
        <w:rPr>
          <w:rFonts w:ascii="Lato" w:hAnsi="Lato" w:cs="Arial"/>
          <w:sz w:val="20"/>
          <w:szCs w:val="20"/>
        </w:rPr>
        <w:t>Rachunkowości, Międzynarodowe Standardy</w:t>
      </w:r>
      <w:r w:rsidR="00301C90">
        <w:rPr>
          <w:rFonts w:ascii="Lato" w:hAnsi="Lato" w:cs="Arial"/>
          <w:sz w:val="20"/>
          <w:szCs w:val="20"/>
        </w:rPr>
        <w:t xml:space="preserve"> </w:t>
      </w:r>
      <w:r w:rsidRPr="0034336C">
        <w:rPr>
          <w:rFonts w:ascii="Lato" w:hAnsi="Lato" w:cs="Arial"/>
          <w:sz w:val="20"/>
          <w:szCs w:val="20"/>
        </w:rPr>
        <w:t>Sprawozdawczości Finansowej oraz związane z nimi</w:t>
      </w:r>
      <w:r>
        <w:rPr>
          <w:rFonts w:ascii="Lato" w:hAnsi="Lato"/>
          <w:sz w:val="20"/>
          <w:szCs w:val="20"/>
        </w:rPr>
        <w:t xml:space="preserve"> </w:t>
      </w:r>
      <w:r w:rsidRPr="0034336C">
        <w:rPr>
          <w:rFonts w:ascii="Lato" w:hAnsi="Lato" w:cs="Arial"/>
          <w:sz w:val="20"/>
          <w:szCs w:val="20"/>
        </w:rPr>
        <w:t>interpretacje,</w:t>
      </w:r>
      <w:r w:rsidR="00301C90">
        <w:rPr>
          <w:rFonts w:ascii="Lato" w:hAnsi="Lato" w:cs="Arial"/>
          <w:sz w:val="20"/>
          <w:szCs w:val="20"/>
        </w:rPr>
        <w:t xml:space="preserve"> </w:t>
      </w:r>
      <w:r w:rsidRPr="0034336C">
        <w:rPr>
          <w:rFonts w:ascii="Lato" w:hAnsi="Lato" w:cs="Arial"/>
          <w:sz w:val="20"/>
          <w:szCs w:val="20"/>
        </w:rPr>
        <w:t>ogłoszone w formie rozporządzeń</w:t>
      </w:r>
      <w:r w:rsidR="00301C90">
        <w:rPr>
          <w:rFonts w:ascii="Lato" w:hAnsi="Lato" w:cs="Arial"/>
          <w:sz w:val="20"/>
          <w:szCs w:val="20"/>
        </w:rPr>
        <w:t xml:space="preserve"> </w:t>
      </w:r>
      <w:r w:rsidRPr="0034336C">
        <w:rPr>
          <w:rFonts w:ascii="Lato" w:hAnsi="Lato" w:cs="Arial"/>
          <w:sz w:val="20"/>
          <w:szCs w:val="20"/>
        </w:rPr>
        <w:t>wykonawczych</w:t>
      </w:r>
      <w:r w:rsidR="00C40EF9">
        <w:rPr>
          <w:rFonts w:ascii="Lato" w:hAnsi="Lato" w:cs="Arial"/>
          <w:sz w:val="20"/>
          <w:szCs w:val="20"/>
        </w:rPr>
        <w:t xml:space="preserve"> Komisji Europejskiej.</w:t>
      </w:r>
      <w:r w:rsidRPr="0034336C">
        <w:rPr>
          <w:rFonts w:ascii="Lato" w:hAnsi="Lato"/>
          <w:sz w:val="20"/>
          <w:szCs w:val="20"/>
        </w:rPr>
        <w:br/>
      </w:r>
      <w:r w:rsidRPr="0034336C">
        <w:rPr>
          <w:rFonts w:ascii="Lato" w:hAnsi="Lato" w:cs="Arial"/>
          <w:sz w:val="20"/>
          <w:szCs w:val="20"/>
        </w:rPr>
        <w:t xml:space="preserve">Przez </w:t>
      </w:r>
      <w:r>
        <w:rPr>
          <w:rFonts w:ascii="Lato" w:hAnsi="Lato" w:cs="Arial"/>
          <w:sz w:val="20"/>
          <w:szCs w:val="20"/>
        </w:rPr>
        <w:t xml:space="preserve">śródroczne </w:t>
      </w:r>
      <w:r w:rsidRPr="0034336C">
        <w:rPr>
          <w:rFonts w:ascii="Lato" w:hAnsi="Lato" w:cs="Arial"/>
          <w:sz w:val="20"/>
          <w:szCs w:val="20"/>
        </w:rPr>
        <w:t xml:space="preserve">skonsolidowane raporty finansowe </w:t>
      </w:r>
      <w:bookmarkStart w:id="1" w:name="_Hlk105399753"/>
      <w:r w:rsidRPr="0034336C">
        <w:rPr>
          <w:rFonts w:ascii="Lato" w:hAnsi="Lato" w:cs="Arial"/>
          <w:sz w:val="20"/>
          <w:szCs w:val="20"/>
        </w:rPr>
        <w:t xml:space="preserve">Grupy Alior Banku SA </w:t>
      </w:r>
      <w:bookmarkEnd w:id="1"/>
      <w:r w:rsidRPr="0034336C">
        <w:rPr>
          <w:rFonts w:ascii="Lato" w:hAnsi="Lato" w:cs="Arial"/>
          <w:sz w:val="20"/>
          <w:szCs w:val="20"/>
        </w:rPr>
        <w:t>należy rozumieć śródroczne</w:t>
      </w:r>
      <w:r>
        <w:rPr>
          <w:rFonts w:ascii="Lato" w:hAnsi="Lato"/>
          <w:sz w:val="20"/>
          <w:szCs w:val="20"/>
        </w:rPr>
        <w:t xml:space="preserve"> </w:t>
      </w:r>
      <w:r w:rsidRPr="0034336C">
        <w:rPr>
          <w:rFonts w:ascii="Lato" w:hAnsi="Lato" w:cs="Arial"/>
          <w:sz w:val="20"/>
          <w:szCs w:val="20"/>
        </w:rPr>
        <w:lastRenderedPageBreak/>
        <w:t>skonsolidowane sprawozdanie finansowe Grupy Alior Banku SA za okres 6 miesięcy, sporządzone zgodnie</w:t>
      </w:r>
      <w:r w:rsidR="00301C90">
        <w:rPr>
          <w:rFonts w:ascii="Lato" w:hAnsi="Lato" w:cs="Arial"/>
          <w:sz w:val="20"/>
          <w:szCs w:val="20"/>
        </w:rPr>
        <w:t xml:space="preserve"> </w:t>
      </w:r>
      <w:r w:rsidRPr="0034336C">
        <w:rPr>
          <w:rFonts w:ascii="Lato" w:hAnsi="Lato" w:cs="Arial"/>
          <w:sz w:val="20"/>
          <w:szCs w:val="20"/>
        </w:rPr>
        <w:t>z</w:t>
      </w:r>
      <w:r>
        <w:rPr>
          <w:rFonts w:ascii="Lato" w:hAnsi="Lato"/>
          <w:sz w:val="20"/>
          <w:szCs w:val="20"/>
        </w:rPr>
        <w:t xml:space="preserve"> </w:t>
      </w:r>
      <w:r w:rsidRPr="0034336C">
        <w:rPr>
          <w:rFonts w:ascii="Lato" w:hAnsi="Lato" w:cs="Arial"/>
          <w:sz w:val="20"/>
          <w:szCs w:val="20"/>
        </w:rPr>
        <w:t>MSR 34 – „Śródroczna sprawozdawczość finansowa” oraz Rozporządzeniem Ministra Finansów z</w:t>
      </w:r>
      <w:r>
        <w:rPr>
          <w:rFonts w:ascii="Lato" w:hAnsi="Lato"/>
          <w:sz w:val="20"/>
          <w:szCs w:val="20"/>
        </w:rPr>
        <w:t xml:space="preserve"> </w:t>
      </w:r>
      <w:r w:rsidRPr="0034336C">
        <w:rPr>
          <w:rFonts w:ascii="Lato" w:hAnsi="Lato" w:cs="Arial"/>
          <w:sz w:val="20"/>
          <w:szCs w:val="20"/>
        </w:rPr>
        <w:t>dnia 29 marca 2018 roku w sprawie informacji bieżących i okresowych przekazywanych przez</w:t>
      </w:r>
      <w:r>
        <w:rPr>
          <w:rFonts w:ascii="Lato" w:hAnsi="Lato"/>
          <w:sz w:val="20"/>
          <w:szCs w:val="20"/>
        </w:rPr>
        <w:t xml:space="preserve"> </w:t>
      </w:r>
      <w:r w:rsidRPr="0034336C">
        <w:rPr>
          <w:rFonts w:ascii="Lato" w:hAnsi="Lato" w:cs="Arial"/>
          <w:sz w:val="20"/>
          <w:szCs w:val="20"/>
        </w:rPr>
        <w:t xml:space="preserve">emitentów papierów wartościowych </w:t>
      </w:r>
      <w:r>
        <w:rPr>
          <w:rFonts w:ascii="Lato" w:hAnsi="Lato" w:cs="Arial"/>
          <w:sz w:val="20"/>
          <w:szCs w:val="20"/>
        </w:rPr>
        <w:t>–</w:t>
      </w:r>
      <w:r w:rsidRPr="0034336C">
        <w:rPr>
          <w:rFonts w:ascii="Lato" w:hAnsi="Lato" w:cs="Arial"/>
          <w:sz w:val="20"/>
          <w:szCs w:val="20"/>
        </w:rPr>
        <w:t xml:space="preserve"> półroczne</w:t>
      </w:r>
      <w:r>
        <w:rPr>
          <w:rFonts w:ascii="Lato" w:hAnsi="Lato"/>
          <w:sz w:val="20"/>
          <w:szCs w:val="20"/>
        </w:rPr>
        <w:t xml:space="preserve"> </w:t>
      </w:r>
      <w:r w:rsidRPr="0034336C">
        <w:rPr>
          <w:rFonts w:ascii="Lato" w:hAnsi="Lato" w:cs="Arial"/>
          <w:sz w:val="20"/>
          <w:szCs w:val="20"/>
        </w:rPr>
        <w:t xml:space="preserve">skonsolidowane sprawozdanie finansowe </w:t>
      </w:r>
      <w:r w:rsidR="00C40EF9" w:rsidRPr="00C40EF9">
        <w:rPr>
          <w:rFonts w:ascii="Lato" w:hAnsi="Lato" w:cs="Arial"/>
          <w:sz w:val="20"/>
          <w:szCs w:val="20"/>
        </w:rPr>
        <w:t xml:space="preserve">Grupy Alior Banku SA </w:t>
      </w:r>
      <w:r w:rsidRPr="0034336C">
        <w:rPr>
          <w:rFonts w:ascii="Lato" w:hAnsi="Lato" w:cs="Arial"/>
          <w:sz w:val="20"/>
          <w:szCs w:val="20"/>
        </w:rPr>
        <w:t>za okres 6 miesięcy zakończony 30 czerwca</w:t>
      </w:r>
      <w:r>
        <w:rPr>
          <w:rFonts w:ascii="Lato" w:hAnsi="Lato"/>
          <w:sz w:val="20"/>
          <w:szCs w:val="20"/>
        </w:rPr>
        <w:t xml:space="preserve"> </w:t>
      </w:r>
      <w:r w:rsidRPr="0034336C">
        <w:rPr>
          <w:rFonts w:ascii="Lato" w:hAnsi="Lato" w:cs="Arial"/>
          <w:sz w:val="20"/>
          <w:szCs w:val="20"/>
        </w:rPr>
        <w:t xml:space="preserve">2021 roku dostępne jest pod adresem </w:t>
      </w:r>
      <w:hyperlink r:id="rId7" w:history="1">
        <w:r w:rsidRPr="00996F39">
          <w:rPr>
            <w:rStyle w:val="Hipercze"/>
            <w:rFonts w:ascii="Lato" w:hAnsi="Lato" w:cs="Arial"/>
            <w:sz w:val="20"/>
            <w:szCs w:val="20"/>
          </w:rPr>
          <w:t>https://www.aliorbank.pl/dodatkowe-informacje/relacje-inwestorskie/wyniki-finansowe.html</w:t>
        </w:r>
      </w:hyperlink>
      <w:r w:rsidR="001B485B">
        <w:rPr>
          <w:rStyle w:val="Hipercze"/>
          <w:rFonts w:ascii="Lato" w:hAnsi="Lato" w:cs="Arial"/>
          <w:sz w:val="20"/>
          <w:szCs w:val="20"/>
        </w:rPr>
        <w:t xml:space="preserve">  </w:t>
      </w:r>
    </w:p>
    <w:p w14:paraId="0247945B" w14:textId="48FD9348" w:rsidR="0034336C" w:rsidRDefault="001B485B" w:rsidP="00C40EF9">
      <w:pPr>
        <w:spacing w:before="120" w:after="120" w:line="276" w:lineRule="auto"/>
        <w:contextualSpacing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(załącznik nr 6).</w:t>
      </w:r>
    </w:p>
    <w:p w14:paraId="3B71CAFA" w14:textId="3C9831D3" w:rsidR="00BD606E" w:rsidRPr="00A40382" w:rsidRDefault="0034336C" w:rsidP="00C40EF9">
      <w:pPr>
        <w:jc w:val="both"/>
        <w:rPr>
          <w:rFonts w:ascii="Lato" w:hAnsi="Lato" w:cs="Segoe UI Light"/>
          <w:sz w:val="20"/>
          <w:szCs w:val="20"/>
        </w:rPr>
      </w:pPr>
      <w:r w:rsidRPr="0034336C">
        <w:rPr>
          <w:rFonts w:ascii="Lato" w:hAnsi="Lato" w:cs="Arial"/>
          <w:sz w:val="20"/>
          <w:szCs w:val="20"/>
        </w:rPr>
        <w:t xml:space="preserve">Przez skonsolidowane sprawozdanie finansowe </w:t>
      </w:r>
      <w:r w:rsidR="00C40EF9" w:rsidRPr="00C40EF9">
        <w:rPr>
          <w:rFonts w:ascii="Lato" w:hAnsi="Lato" w:cs="Arial"/>
          <w:sz w:val="20"/>
          <w:szCs w:val="20"/>
        </w:rPr>
        <w:t xml:space="preserve">Grupy Alior Banku SA </w:t>
      </w:r>
      <w:r w:rsidRPr="0034336C">
        <w:rPr>
          <w:rFonts w:ascii="Lato" w:hAnsi="Lato" w:cs="Arial"/>
          <w:sz w:val="20"/>
          <w:szCs w:val="20"/>
        </w:rPr>
        <w:t>należy rozumieć skonsolidowane</w:t>
      </w:r>
      <w:r w:rsidRPr="0034336C">
        <w:rPr>
          <w:rFonts w:ascii="Lato" w:hAnsi="Lato"/>
          <w:sz w:val="20"/>
          <w:szCs w:val="20"/>
        </w:rPr>
        <w:br/>
      </w:r>
      <w:r w:rsidRPr="0034336C">
        <w:rPr>
          <w:rFonts w:ascii="Lato" w:hAnsi="Lato" w:cs="Arial"/>
          <w:sz w:val="20"/>
          <w:szCs w:val="20"/>
        </w:rPr>
        <w:t>sprawozdanie finansowe, sporządzone zgodnie z MSSF – skonsolidowane sprawozdanie finansowe</w:t>
      </w:r>
      <w:r w:rsidRPr="0034336C">
        <w:rPr>
          <w:rFonts w:ascii="Lato" w:hAnsi="Lato"/>
          <w:sz w:val="20"/>
          <w:szCs w:val="20"/>
        </w:rPr>
        <w:br/>
      </w:r>
      <w:r w:rsidR="00C40EF9" w:rsidRPr="00C40EF9">
        <w:rPr>
          <w:rFonts w:ascii="Lato" w:hAnsi="Lato" w:cs="Arial"/>
          <w:sz w:val="20"/>
          <w:szCs w:val="20"/>
        </w:rPr>
        <w:t xml:space="preserve">Grupy Alior Banku SA </w:t>
      </w:r>
      <w:r w:rsidRPr="0034336C">
        <w:rPr>
          <w:rFonts w:ascii="Lato" w:hAnsi="Lato" w:cs="Arial"/>
          <w:sz w:val="20"/>
          <w:szCs w:val="20"/>
        </w:rPr>
        <w:t>za rok 2021</w:t>
      </w:r>
      <w:r w:rsidR="00C40EF9">
        <w:rPr>
          <w:rFonts w:ascii="Lato" w:hAnsi="Lato" w:cs="Arial"/>
          <w:sz w:val="20"/>
          <w:szCs w:val="20"/>
        </w:rPr>
        <w:t xml:space="preserve">, </w:t>
      </w:r>
      <w:r w:rsidRPr="0034336C">
        <w:rPr>
          <w:rFonts w:ascii="Lato" w:hAnsi="Lato" w:cs="Arial"/>
          <w:sz w:val="20"/>
          <w:szCs w:val="20"/>
        </w:rPr>
        <w:t xml:space="preserve">dostępne jest pod adresem </w:t>
      </w:r>
      <w:hyperlink r:id="rId8" w:history="1">
        <w:r w:rsidR="00C40EF9" w:rsidRPr="006848DD">
          <w:rPr>
            <w:rStyle w:val="Hipercze"/>
            <w:rFonts w:ascii="Lato" w:hAnsi="Lato" w:cs="Arial"/>
            <w:sz w:val="20"/>
            <w:szCs w:val="20"/>
          </w:rPr>
          <w:t>https://www.aliorbank.pl/dodatkowe-informacje/relacje-inwestorskie/wyniki-finansowe.html</w:t>
        </w:r>
      </w:hyperlink>
      <w:r w:rsidR="00C40EF9">
        <w:rPr>
          <w:rFonts w:ascii="Lato" w:hAnsi="Lato" w:cs="Arial"/>
          <w:sz w:val="20"/>
          <w:szCs w:val="20"/>
        </w:rPr>
        <w:t xml:space="preserve"> </w:t>
      </w:r>
      <w:r w:rsidR="001B485B" w:rsidRPr="001B485B">
        <w:rPr>
          <w:rFonts w:ascii="Lato" w:hAnsi="Lato" w:cs="Arial"/>
          <w:sz w:val="20"/>
          <w:szCs w:val="20"/>
        </w:rPr>
        <w:t>(załącznik nr 6)</w:t>
      </w:r>
      <w:r w:rsidR="001B485B">
        <w:rPr>
          <w:rFonts w:ascii="Lato" w:hAnsi="Lato" w:cs="Arial"/>
          <w:sz w:val="20"/>
          <w:szCs w:val="20"/>
        </w:rPr>
        <w:t xml:space="preserve"> </w:t>
      </w:r>
      <w:r w:rsidRPr="0034336C">
        <w:rPr>
          <w:rFonts w:ascii="Lato" w:hAnsi="Lato" w:cs="Arial"/>
          <w:sz w:val="20"/>
          <w:szCs w:val="20"/>
        </w:rPr>
        <w:t xml:space="preserve">a skład </w:t>
      </w:r>
      <w:r w:rsidR="00C40EF9" w:rsidRPr="00C40EF9">
        <w:rPr>
          <w:rFonts w:ascii="Lato" w:hAnsi="Lato" w:cs="Arial"/>
          <w:sz w:val="20"/>
          <w:szCs w:val="20"/>
        </w:rPr>
        <w:t xml:space="preserve">Grupy Alior Banku SA </w:t>
      </w:r>
      <w:r w:rsidRPr="0034336C">
        <w:rPr>
          <w:rFonts w:ascii="Lato" w:hAnsi="Lato" w:cs="Arial"/>
          <w:sz w:val="20"/>
          <w:szCs w:val="20"/>
        </w:rPr>
        <w:t>oraz lista jednostek objętych konsolidacją na dzień 31</w:t>
      </w:r>
      <w:r w:rsidR="00C40EF9">
        <w:rPr>
          <w:rFonts w:ascii="Lato" w:hAnsi="Lato"/>
          <w:sz w:val="20"/>
          <w:szCs w:val="20"/>
        </w:rPr>
        <w:t xml:space="preserve"> </w:t>
      </w:r>
      <w:r w:rsidRPr="0034336C">
        <w:rPr>
          <w:rFonts w:ascii="Lato" w:hAnsi="Lato" w:cs="Arial"/>
          <w:sz w:val="20"/>
          <w:szCs w:val="20"/>
        </w:rPr>
        <w:t>grudnia 2021 roku zostały w nim przedstawione</w:t>
      </w:r>
      <w:r w:rsidR="00C40EF9">
        <w:rPr>
          <w:rFonts w:ascii="Lato" w:hAnsi="Lato" w:cs="Arial"/>
          <w:sz w:val="20"/>
          <w:szCs w:val="20"/>
        </w:rPr>
        <w:t xml:space="preserve"> w nocie 1.2.</w:t>
      </w:r>
    </w:p>
    <w:p w14:paraId="73E4B62D" w14:textId="1E5280D3" w:rsidR="001C3125" w:rsidRPr="00A40382" w:rsidRDefault="001C3125" w:rsidP="001C3125">
      <w:pPr>
        <w:keepNext/>
        <w:spacing w:after="240" w:line="240" w:lineRule="auto"/>
        <w:outlineLvl w:val="1"/>
        <w:rPr>
          <w:rFonts w:ascii="Lato" w:eastAsia="Times New Roman" w:hAnsi="Lato" w:cs="Segoe UI Light"/>
          <w:b/>
          <w:sz w:val="20"/>
          <w:szCs w:val="20"/>
          <w:u w:val="single"/>
          <w:lang w:eastAsia="pl-PL"/>
        </w:rPr>
      </w:pPr>
      <w:r w:rsidRPr="00A40382">
        <w:rPr>
          <w:rFonts w:ascii="Lato" w:eastAsia="Times New Roman" w:hAnsi="Lato" w:cs="Segoe UI Light"/>
          <w:b/>
          <w:sz w:val="20"/>
          <w:szCs w:val="20"/>
          <w:u w:val="single"/>
          <w:lang w:eastAsia="pl-PL"/>
        </w:rPr>
        <w:t xml:space="preserve">Podstawowe informacje o </w:t>
      </w:r>
      <w:r w:rsidR="00E229A2" w:rsidRPr="00A40382">
        <w:rPr>
          <w:rFonts w:ascii="Lato" w:eastAsia="Times New Roman" w:hAnsi="Lato" w:cs="Segoe UI Light"/>
          <w:b/>
          <w:sz w:val="20"/>
          <w:szCs w:val="20"/>
          <w:u w:val="single"/>
          <w:lang w:eastAsia="pl-PL"/>
        </w:rPr>
        <w:t>podmiotach z</w:t>
      </w:r>
      <w:r w:rsidRPr="00A40382">
        <w:rPr>
          <w:rFonts w:ascii="Lato" w:eastAsia="Times New Roman" w:hAnsi="Lato" w:cs="Segoe UI Light"/>
          <w:b/>
          <w:sz w:val="20"/>
          <w:szCs w:val="20"/>
          <w:u w:val="single"/>
          <w:lang w:eastAsia="pl-PL"/>
        </w:rPr>
        <w:t xml:space="preserve"> Grupy Alior Banku</w:t>
      </w:r>
    </w:p>
    <w:p w14:paraId="282DC88C" w14:textId="77777777" w:rsidR="001C3125" w:rsidRPr="00A40382" w:rsidRDefault="001C3125" w:rsidP="001C3125">
      <w:pPr>
        <w:spacing w:after="0" w:line="240" w:lineRule="auto"/>
        <w:rPr>
          <w:rFonts w:ascii="Lato" w:eastAsia="Times New Roman" w:hAnsi="Lato" w:cs="Segoe UI Light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3697"/>
        <w:gridCol w:w="1176"/>
        <w:gridCol w:w="1010"/>
        <w:gridCol w:w="959"/>
        <w:gridCol w:w="1075"/>
      </w:tblGrid>
      <w:tr w:rsidR="001C3125" w:rsidRPr="00A40382" w14:paraId="6C2B1C3D" w14:textId="77777777" w:rsidTr="00A40382">
        <w:trPr>
          <w:trHeight w:val="824"/>
          <w:tblHeader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14:paraId="7F73616C" w14:textId="77777777" w:rsidR="001C3125" w:rsidRPr="007247F6" w:rsidRDefault="001C3125" w:rsidP="001C3125">
            <w:pPr>
              <w:spacing w:after="0" w:line="240" w:lineRule="auto"/>
              <w:jc w:val="center"/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7F6"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  <w:t>Spółka</w:t>
            </w:r>
          </w:p>
        </w:tc>
        <w:tc>
          <w:tcPr>
            <w:tcW w:w="2040" w:type="pct"/>
            <w:shd w:val="clear" w:color="auto" w:fill="auto"/>
            <w:vAlign w:val="center"/>
            <w:hideMark/>
          </w:tcPr>
          <w:p w14:paraId="086D5FC7" w14:textId="3C381632" w:rsidR="001C3125" w:rsidRPr="007247F6" w:rsidRDefault="001C3125" w:rsidP="001C3125">
            <w:pPr>
              <w:spacing w:after="0" w:line="240" w:lineRule="auto"/>
              <w:jc w:val="center"/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7F6"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  <w:t>Podstawowe informacje i prowadzona działalność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67000C5D" w14:textId="468E53B9" w:rsidR="001C3125" w:rsidRPr="00AB17FF" w:rsidRDefault="001C3125" w:rsidP="001C3125">
            <w:pPr>
              <w:spacing w:after="0" w:line="240" w:lineRule="auto"/>
              <w:jc w:val="center"/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17FF"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  <w:t>Średnie zatrudnienie w etatach na 31.12.20</w:t>
            </w:r>
            <w:r w:rsidR="00A40382" w:rsidRPr="00AB17FF"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  <w:r w:rsidRPr="00AB17FF"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7E73909" w14:textId="67982E04" w:rsidR="001C3125" w:rsidRPr="00AB17FF" w:rsidRDefault="001C3125" w:rsidP="001C3125">
            <w:pPr>
              <w:spacing w:after="0" w:line="240" w:lineRule="auto"/>
              <w:jc w:val="center"/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17FF"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  <w:t xml:space="preserve">Przychody </w:t>
            </w:r>
            <w:r w:rsidRPr="00AB17FF"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(w tys. zł) </w:t>
            </w:r>
            <w:r w:rsidRPr="00AB17FF"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  <w:br/>
              <w:t>za okres 01.01. - 31.12.20</w:t>
            </w:r>
            <w:r w:rsidR="00A40382" w:rsidRPr="00AB17FF"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Pr="00AB17FF"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  <w:t>1 r.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4C83BB4D" w14:textId="5375BEA8" w:rsidR="001C3125" w:rsidRPr="00AB17FF" w:rsidRDefault="001C3125" w:rsidP="001C3125">
            <w:pPr>
              <w:spacing w:after="0" w:line="240" w:lineRule="auto"/>
              <w:jc w:val="center"/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17FF"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  <w:t xml:space="preserve">Zysk (strata) netto </w:t>
            </w:r>
            <w:r w:rsidRPr="00AB17FF"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(w tys. zł) </w:t>
            </w:r>
            <w:r w:rsidRPr="00AB17FF"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  <w:br/>
              <w:t>za okres 01.01. - 31.12.20</w:t>
            </w:r>
            <w:r w:rsidR="00A40382" w:rsidRPr="00AB17FF"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  <w:r w:rsidRPr="00AB17FF"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4B5592D" w14:textId="55D69EF2" w:rsidR="001C3125" w:rsidRPr="00AB17FF" w:rsidRDefault="001C3125" w:rsidP="001C3125">
            <w:pPr>
              <w:spacing w:after="0" w:line="240" w:lineRule="auto"/>
              <w:jc w:val="center"/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17FF"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  <w:t xml:space="preserve">Suma bilansowa </w:t>
            </w:r>
            <w:r w:rsidRPr="00AB17FF"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  <w:br/>
              <w:t>(w tys. zł) na 31.12.20</w:t>
            </w:r>
            <w:r w:rsidR="00A40382" w:rsidRPr="00AB17FF"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Pr="00AB17FF">
              <w:rPr>
                <w:rFonts w:ascii="Lato" w:eastAsia="Times New Roman" w:hAnsi="Lato" w:cs="Segoe UI Light"/>
                <w:b/>
                <w:bCs/>
                <w:color w:val="000000"/>
                <w:sz w:val="16"/>
                <w:szCs w:val="16"/>
                <w:lang w:eastAsia="pl-PL"/>
              </w:rPr>
              <w:t>1 r.</w:t>
            </w:r>
          </w:p>
        </w:tc>
      </w:tr>
      <w:tr w:rsidR="001C3125" w:rsidRPr="00A40382" w14:paraId="04122DA9" w14:textId="77777777" w:rsidTr="00A40382">
        <w:trPr>
          <w:trHeight w:val="410"/>
        </w:trPr>
        <w:tc>
          <w:tcPr>
            <w:tcW w:w="632" w:type="pct"/>
            <w:shd w:val="clear" w:color="auto" w:fill="auto"/>
            <w:vAlign w:val="center"/>
          </w:tcPr>
          <w:p w14:paraId="4CE74AF8" w14:textId="77777777" w:rsidR="001C3125" w:rsidRPr="00A40382" w:rsidRDefault="001C3125" w:rsidP="001C3125">
            <w:pPr>
              <w:spacing w:after="0" w:line="240" w:lineRule="auto"/>
              <w:rPr>
                <w:rFonts w:ascii="Lato" w:eastAsia="Times New Roman" w:hAnsi="Lato" w:cs="Segoe UI Light"/>
                <w:color w:val="000000"/>
                <w:sz w:val="20"/>
                <w:szCs w:val="20"/>
                <w:lang w:eastAsia="pl-PL"/>
              </w:rPr>
            </w:pPr>
            <w:r w:rsidRPr="00A40382"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  <w:t>Alior Bank SA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6033DAD7" w14:textId="77777777" w:rsidR="001C3125" w:rsidRPr="00A40382" w:rsidRDefault="001C3125" w:rsidP="001C3125">
            <w:pPr>
              <w:spacing w:after="0" w:line="240" w:lineRule="auto"/>
              <w:rPr>
                <w:rFonts w:ascii="Lato" w:eastAsia="Times New Roman" w:hAnsi="Lato" w:cs="Segoe UI Light"/>
                <w:color w:val="000000"/>
                <w:sz w:val="20"/>
                <w:szCs w:val="20"/>
                <w:lang w:eastAsia="pl-PL"/>
              </w:rPr>
            </w:pPr>
            <w:r w:rsidRPr="00A40382">
              <w:rPr>
                <w:rFonts w:ascii="Lato" w:eastAsia="Times New Roman" w:hAnsi="Lato" w:cs="Segoe UI Light"/>
                <w:color w:val="000000"/>
                <w:sz w:val="20"/>
                <w:szCs w:val="20"/>
                <w:lang w:eastAsia="pl-PL"/>
              </w:rPr>
              <w:t xml:space="preserve">Usługi bankowe. </w:t>
            </w:r>
          </w:p>
          <w:p w14:paraId="405F66A3" w14:textId="77777777" w:rsidR="001C3125" w:rsidRPr="00A40382" w:rsidRDefault="001B485B" w:rsidP="001C3125">
            <w:pPr>
              <w:spacing w:after="0" w:line="240" w:lineRule="auto"/>
              <w:rPr>
                <w:rFonts w:ascii="Lato" w:eastAsia="Times New Roman" w:hAnsi="Lato" w:cs="Segoe UI Light"/>
                <w:color w:val="000000"/>
                <w:sz w:val="20"/>
                <w:szCs w:val="20"/>
                <w:lang w:eastAsia="pl-PL"/>
              </w:rPr>
            </w:pPr>
            <w:hyperlink r:id="rId9" w:history="1">
              <w:r w:rsidR="001C3125" w:rsidRPr="00A40382">
                <w:rPr>
                  <w:rFonts w:ascii="Lato" w:eastAsia="Times New Roman" w:hAnsi="Lato" w:cs="Segoe UI Light"/>
                  <w:color w:val="0000FF"/>
                  <w:sz w:val="20"/>
                  <w:szCs w:val="20"/>
                  <w:u w:val="single"/>
                  <w:lang w:eastAsia="pl-PL"/>
                </w:rPr>
                <w:t>https://www.aliorbank.pl/</w:t>
              </w:r>
            </w:hyperlink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26F150B6" w14:textId="671527EE" w:rsidR="001C3125" w:rsidRPr="00C40B9C" w:rsidRDefault="00C40B9C" w:rsidP="00D33341">
            <w:pPr>
              <w:spacing w:after="0" w:line="240" w:lineRule="auto"/>
              <w:jc w:val="right"/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</w:pPr>
            <w:r w:rsidRPr="00C40B9C"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  <w:t>7 606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12B21343" w14:textId="2C275C75" w:rsidR="001C3125" w:rsidRPr="00C40B9C" w:rsidRDefault="00743EEC" w:rsidP="00D33341">
            <w:pPr>
              <w:spacing w:after="0" w:line="240" w:lineRule="auto"/>
              <w:jc w:val="right"/>
              <w:rPr>
                <w:rFonts w:ascii="Lato" w:eastAsia="Times New Roman" w:hAnsi="Lato" w:cs="Segoe UI Light"/>
                <w:b/>
                <w:bCs/>
                <w:sz w:val="16"/>
                <w:szCs w:val="16"/>
                <w:lang w:eastAsia="pl-PL"/>
              </w:rPr>
            </w:pPr>
            <w:r w:rsidRPr="00743EEC">
              <w:rPr>
                <w:rFonts w:ascii="Lato" w:eastAsia="Times New Roman" w:hAnsi="Lato" w:cs="Segoe UI Light"/>
                <w:b/>
                <w:bCs/>
                <w:sz w:val="16"/>
                <w:szCs w:val="16"/>
                <w:lang w:eastAsia="pl-PL"/>
              </w:rPr>
              <w:t>4 427 198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14:paraId="2696A91D" w14:textId="10B7EC47" w:rsidR="001C3125" w:rsidRPr="00C40B9C" w:rsidRDefault="00656E99" w:rsidP="00D33341">
            <w:pPr>
              <w:spacing w:after="0" w:line="240" w:lineRule="auto"/>
              <w:jc w:val="right"/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</w:pPr>
            <w:r w:rsidRPr="00656E99"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  <w:t>439 293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1B96D265" w14:textId="0B949F6E" w:rsidR="001C3125" w:rsidRPr="00C40B9C" w:rsidRDefault="00656E99" w:rsidP="00D33341">
            <w:pPr>
              <w:spacing w:after="0" w:line="240" w:lineRule="auto"/>
              <w:jc w:val="right"/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</w:pPr>
            <w:r w:rsidRPr="00656E99"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  <w:t>82 930 687</w:t>
            </w:r>
          </w:p>
        </w:tc>
      </w:tr>
      <w:tr w:rsidR="001C3125" w:rsidRPr="00A40382" w14:paraId="385CA1F9" w14:textId="77777777" w:rsidTr="00A40382">
        <w:trPr>
          <w:trHeight w:val="410"/>
        </w:trPr>
        <w:tc>
          <w:tcPr>
            <w:tcW w:w="632" w:type="pct"/>
            <w:shd w:val="clear" w:color="auto" w:fill="auto"/>
            <w:vAlign w:val="center"/>
          </w:tcPr>
          <w:p w14:paraId="0004A564" w14:textId="1B526F87" w:rsidR="001C3125" w:rsidRPr="00A40382" w:rsidRDefault="001C3125" w:rsidP="001C3125">
            <w:pPr>
              <w:spacing w:after="0" w:line="240" w:lineRule="auto"/>
              <w:rPr>
                <w:rFonts w:ascii="Lato" w:eastAsia="Times New Roman" w:hAnsi="Lato" w:cs="Segoe UI Light"/>
                <w:color w:val="000000"/>
                <w:sz w:val="20"/>
                <w:szCs w:val="20"/>
                <w:lang w:val="en-US" w:eastAsia="pl-PL"/>
              </w:rPr>
            </w:pPr>
            <w:r w:rsidRPr="00A40382">
              <w:rPr>
                <w:rFonts w:ascii="Lato" w:eastAsia="Times New Roman" w:hAnsi="Lato" w:cs="Segoe UI Light"/>
                <w:sz w:val="20"/>
                <w:szCs w:val="20"/>
                <w:lang w:val="en-US" w:eastAsia="pl-PL"/>
              </w:rPr>
              <w:t>Alior Leasing sp. z o.</w:t>
            </w:r>
            <w:r w:rsidR="00A40382" w:rsidRPr="00A40382">
              <w:rPr>
                <w:rFonts w:ascii="Lato" w:eastAsia="Times New Roman" w:hAnsi="Lato" w:cs="Segoe UI Light"/>
                <w:sz w:val="20"/>
                <w:szCs w:val="20"/>
                <w:lang w:val="en-US" w:eastAsia="pl-PL"/>
              </w:rPr>
              <w:t xml:space="preserve"> </w:t>
            </w:r>
            <w:r w:rsidRPr="00A40382">
              <w:rPr>
                <w:rFonts w:ascii="Lato" w:eastAsia="Times New Roman" w:hAnsi="Lato" w:cs="Segoe UI Light"/>
                <w:sz w:val="20"/>
                <w:szCs w:val="20"/>
                <w:lang w:val="en-US" w:eastAsia="pl-PL"/>
              </w:rPr>
              <w:t>o.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4D49926B" w14:textId="77777777" w:rsidR="001C3125" w:rsidRPr="00A40382" w:rsidRDefault="001C3125" w:rsidP="001C3125">
            <w:pPr>
              <w:spacing w:before="20" w:after="20" w:line="240" w:lineRule="auto"/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</w:pPr>
            <w:r w:rsidRPr="00A40382"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  <w:t>Usługi leasingowe.</w:t>
            </w:r>
          </w:p>
          <w:p w14:paraId="1A82E958" w14:textId="77777777" w:rsidR="001C3125" w:rsidRPr="00A40382" w:rsidRDefault="001B485B" w:rsidP="001C3125">
            <w:pPr>
              <w:spacing w:after="0" w:line="240" w:lineRule="auto"/>
              <w:rPr>
                <w:rFonts w:ascii="Lato" w:eastAsia="Times New Roman" w:hAnsi="Lato" w:cs="Segoe UI Light"/>
                <w:color w:val="000000"/>
                <w:sz w:val="20"/>
                <w:szCs w:val="20"/>
                <w:lang w:eastAsia="pl-PL"/>
              </w:rPr>
            </w:pPr>
            <w:hyperlink r:id="rId10" w:history="1">
              <w:r w:rsidR="001C3125" w:rsidRPr="00A40382">
                <w:rPr>
                  <w:rFonts w:ascii="Lato" w:eastAsia="Times New Roman" w:hAnsi="Lato" w:cs="Segoe UI Light"/>
                  <w:color w:val="0000FF"/>
                  <w:sz w:val="20"/>
                  <w:szCs w:val="20"/>
                  <w:u w:val="single"/>
                  <w:lang w:eastAsia="pl-PL"/>
                </w:rPr>
                <w:t>https://www.aliorbank.pl/wlasna-dzialalnosc/alior-leasing.html</w:t>
              </w:r>
            </w:hyperlink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2B3E8779" w14:textId="2BBDE565" w:rsidR="001C3125" w:rsidRPr="00C40B9C" w:rsidRDefault="00C40B9C" w:rsidP="00D33341">
            <w:pPr>
              <w:spacing w:after="0" w:line="240" w:lineRule="auto"/>
              <w:jc w:val="right"/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  <w:t>3</w:t>
            </w:r>
            <w:r w:rsidR="007247F6"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18DFF0C5" w14:textId="10291A01" w:rsidR="001C3125" w:rsidRPr="00C40B9C" w:rsidRDefault="00AB17FF" w:rsidP="00D33341">
            <w:pPr>
              <w:spacing w:after="0" w:line="240" w:lineRule="auto"/>
              <w:jc w:val="right"/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</w:pPr>
            <w:r w:rsidRPr="00AB17FF"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  <w:t>122 313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14:paraId="622477CD" w14:textId="684CFC52" w:rsidR="001C3125" w:rsidRPr="00C40B9C" w:rsidRDefault="00AB17FF" w:rsidP="00D33341">
            <w:pPr>
              <w:spacing w:after="0" w:line="240" w:lineRule="auto"/>
              <w:jc w:val="right"/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</w:pPr>
            <w:r w:rsidRPr="00AB17FF"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  <w:t>20 725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2C14E331" w14:textId="71F85731" w:rsidR="001C3125" w:rsidRPr="00C40B9C" w:rsidRDefault="00AB17FF" w:rsidP="00D33341">
            <w:pPr>
              <w:spacing w:after="0" w:line="240" w:lineRule="auto"/>
              <w:jc w:val="right"/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</w:pPr>
            <w:r w:rsidRPr="00AB17FF"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  <w:t>3 596 384</w:t>
            </w:r>
          </w:p>
        </w:tc>
      </w:tr>
      <w:tr w:rsidR="00A40382" w:rsidRPr="00A40382" w14:paraId="76809624" w14:textId="77777777" w:rsidTr="00A40382">
        <w:trPr>
          <w:trHeight w:val="410"/>
        </w:trPr>
        <w:tc>
          <w:tcPr>
            <w:tcW w:w="632" w:type="pct"/>
            <w:shd w:val="clear" w:color="auto" w:fill="auto"/>
            <w:vAlign w:val="center"/>
          </w:tcPr>
          <w:p w14:paraId="27145877" w14:textId="26CA816C" w:rsidR="00A40382" w:rsidRPr="00A40382" w:rsidRDefault="00A40382" w:rsidP="001C3125">
            <w:pPr>
              <w:spacing w:after="0" w:line="240" w:lineRule="auto"/>
              <w:rPr>
                <w:rFonts w:ascii="Lato" w:eastAsia="Times New Roman" w:hAnsi="Lato" w:cs="Segoe UI Light"/>
                <w:sz w:val="20"/>
                <w:szCs w:val="20"/>
                <w:lang w:val="en-US" w:eastAsia="pl-PL"/>
              </w:rPr>
            </w:pPr>
            <w:r w:rsidRPr="00A40382">
              <w:rPr>
                <w:rFonts w:ascii="Lato" w:eastAsia="Times New Roman" w:hAnsi="Lato" w:cs="Segoe UI Light"/>
                <w:sz w:val="20"/>
                <w:szCs w:val="20"/>
                <w:lang w:val="en-US" w:eastAsia="pl-PL"/>
              </w:rPr>
              <w:t>AL Finance sp. z o. o.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4050EBF6" w14:textId="6D7B7643" w:rsidR="005A2F10" w:rsidRDefault="005A2F10" w:rsidP="001C3125">
            <w:pPr>
              <w:spacing w:before="20" w:after="20" w:line="240" w:lineRule="auto"/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  <w:t>Usługi ubezpieczeniowe.</w:t>
            </w:r>
          </w:p>
          <w:p w14:paraId="2EF45D8A" w14:textId="265FAA36" w:rsidR="00A40382" w:rsidRDefault="001B485B" w:rsidP="001C3125">
            <w:pPr>
              <w:spacing w:before="20" w:after="20" w:line="240" w:lineRule="auto"/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</w:pPr>
            <w:hyperlink r:id="rId11" w:history="1">
              <w:r w:rsidR="005A2F10" w:rsidRPr="00996F39">
                <w:rPr>
                  <w:rStyle w:val="Hipercze"/>
                  <w:rFonts w:ascii="Lato" w:eastAsia="Times New Roman" w:hAnsi="Lato" w:cs="Segoe UI Light"/>
                  <w:sz w:val="20"/>
                  <w:szCs w:val="20"/>
                  <w:lang w:eastAsia="pl-PL"/>
                </w:rPr>
                <w:t>https://www.alubezpieczenia.pl/</w:t>
              </w:r>
            </w:hyperlink>
          </w:p>
          <w:p w14:paraId="5292A066" w14:textId="763373F4" w:rsidR="005A2F10" w:rsidRPr="00A40382" w:rsidRDefault="005A2F10" w:rsidP="001C3125">
            <w:pPr>
              <w:spacing w:before="20" w:after="20" w:line="240" w:lineRule="auto"/>
              <w:rPr>
                <w:rFonts w:ascii="Lato" w:eastAsia="Times New Roman" w:hAnsi="Lato" w:cs="Segoe UI Light"/>
                <w:sz w:val="20"/>
                <w:szCs w:val="20"/>
                <w:lang w:eastAsia="pl-PL"/>
              </w:rPr>
            </w:pP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5E205AB8" w14:textId="44EAF55A" w:rsidR="00A40382" w:rsidRPr="00C40B9C" w:rsidRDefault="00C40B9C" w:rsidP="00D33341">
            <w:pPr>
              <w:spacing w:after="0" w:line="240" w:lineRule="auto"/>
              <w:jc w:val="right"/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1A4533BE" w14:textId="2F6BD458" w:rsidR="00A40382" w:rsidRPr="00C40B9C" w:rsidRDefault="00AB17FF" w:rsidP="00D33341">
            <w:pPr>
              <w:spacing w:after="0" w:line="240" w:lineRule="auto"/>
              <w:jc w:val="right"/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</w:pPr>
            <w:r w:rsidRPr="00AB17FF"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  <w:t>68 355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14:paraId="6BDEACE7" w14:textId="474ECA3A" w:rsidR="00A40382" w:rsidRPr="00C40B9C" w:rsidRDefault="00AB17FF" w:rsidP="00D33341">
            <w:pPr>
              <w:spacing w:after="0" w:line="240" w:lineRule="auto"/>
              <w:jc w:val="right"/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</w:pPr>
            <w:r w:rsidRPr="00AB17FF"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  <w:t>31 799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589C128D" w14:textId="6CF495EF" w:rsidR="00A40382" w:rsidRPr="00C40B9C" w:rsidRDefault="00AB17FF" w:rsidP="00D33341">
            <w:pPr>
              <w:spacing w:after="0" w:line="240" w:lineRule="auto"/>
              <w:jc w:val="right"/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</w:pPr>
            <w:r w:rsidRPr="00AB17FF">
              <w:rPr>
                <w:rFonts w:ascii="Lato" w:eastAsia="Times New Roman" w:hAnsi="Lato" w:cs="Segoe UI Light"/>
                <w:b/>
                <w:color w:val="000000"/>
                <w:sz w:val="16"/>
                <w:szCs w:val="16"/>
                <w:lang w:eastAsia="pl-PL"/>
              </w:rPr>
              <w:t>58 482</w:t>
            </w:r>
          </w:p>
        </w:tc>
      </w:tr>
    </w:tbl>
    <w:p w14:paraId="54BE98C2" w14:textId="77777777" w:rsidR="001C3125" w:rsidRPr="00A40382" w:rsidRDefault="001C3125" w:rsidP="001C3125">
      <w:pPr>
        <w:spacing w:after="0" w:line="240" w:lineRule="auto"/>
        <w:rPr>
          <w:rFonts w:ascii="Lato" w:eastAsia="Times New Roman" w:hAnsi="Lato" w:cs="Segoe UI Light"/>
          <w:sz w:val="20"/>
          <w:szCs w:val="20"/>
          <w:lang w:eastAsia="pl-PL"/>
        </w:rPr>
      </w:pPr>
    </w:p>
    <w:p w14:paraId="6053FC57" w14:textId="77777777" w:rsidR="00C01170" w:rsidRPr="00605F11" w:rsidRDefault="00C01170" w:rsidP="002D64B9">
      <w:pPr>
        <w:rPr>
          <w:rFonts w:ascii="Lato" w:hAnsi="Lato" w:cs="Segoe UI Light"/>
          <w:b/>
          <w:sz w:val="20"/>
          <w:szCs w:val="20"/>
          <w:u w:val="single"/>
        </w:rPr>
      </w:pPr>
    </w:p>
    <w:p w14:paraId="11047644" w14:textId="77777777" w:rsidR="00F1139C" w:rsidRPr="00605F11" w:rsidRDefault="00F1139C" w:rsidP="002D64B9">
      <w:pPr>
        <w:rPr>
          <w:rFonts w:ascii="Lato" w:hAnsi="Lato" w:cs="Segoe UI Light"/>
          <w:b/>
          <w:sz w:val="20"/>
          <w:szCs w:val="20"/>
          <w:u w:val="single"/>
        </w:rPr>
      </w:pPr>
      <w:r w:rsidRPr="00605F11">
        <w:rPr>
          <w:rFonts w:ascii="Lato" w:hAnsi="Lato" w:cs="Segoe UI Light"/>
          <w:b/>
          <w:sz w:val="20"/>
          <w:szCs w:val="20"/>
          <w:u w:val="single"/>
        </w:rPr>
        <w:t>Warunki udziału w postępowaniu</w:t>
      </w:r>
    </w:p>
    <w:p w14:paraId="44AB682D" w14:textId="0FA47C16" w:rsidR="000E61CA" w:rsidRDefault="002D64B9" w:rsidP="000E61CA">
      <w:pPr>
        <w:pStyle w:val="Akapitzlist"/>
        <w:numPr>
          <w:ilvl w:val="0"/>
          <w:numId w:val="9"/>
        </w:numPr>
        <w:jc w:val="both"/>
        <w:rPr>
          <w:rFonts w:ascii="Lato" w:hAnsi="Lato" w:cs="Segoe UI Light"/>
          <w:sz w:val="20"/>
          <w:szCs w:val="20"/>
        </w:rPr>
      </w:pPr>
      <w:r w:rsidRPr="000E61CA">
        <w:rPr>
          <w:rFonts w:ascii="Lato" w:hAnsi="Lato" w:cs="Segoe UI Light"/>
          <w:sz w:val="20"/>
          <w:szCs w:val="20"/>
        </w:rPr>
        <w:t xml:space="preserve">Warunkiem przyjęcia oferty w postępowaniu jest posiadanie wystarczającego potencjału dla realizacji przedmiotu zamówienia. </w:t>
      </w:r>
    </w:p>
    <w:p w14:paraId="34391B0E" w14:textId="49D748AC" w:rsidR="000E61CA" w:rsidRDefault="000E61CA" w:rsidP="000E61CA">
      <w:pPr>
        <w:pStyle w:val="Akapitzlist"/>
        <w:numPr>
          <w:ilvl w:val="0"/>
          <w:numId w:val="9"/>
        </w:numPr>
        <w:jc w:val="both"/>
        <w:rPr>
          <w:rFonts w:ascii="Lato" w:hAnsi="Lato" w:cs="Segoe UI Light"/>
          <w:sz w:val="20"/>
          <w:szCs w:val="20"/>
        </w:rPr>
      </w:pPr>
      <w:r>
        <w:rPr>
          <w:rFonts w:ascii="Lato" w:hAnsi="Lato" w:cs="Segoe UI Light"/>
          <w:sz w:val="20"/>
          <w:szCs w:val="20"/>
        </w:rPr>
        <w:t>Bank nie dopuszcza możliwości podzlecania części lub całości usługi będącej przedmiotem zapytania.</w:t>
      </w:r>
    </w:p>
    <w:p w14:paraId="0D64A7A6" w14:textId="7332AF64" w:rsidR="005116A5" w:rsidRPr="007E09FC" w:rsidRDefault="005116A5" w:rsidP="007E09FC">
      <w:pPr>
        <w:pStyle w:val="Akapitzlist"/>
        <w:numPr>
          <w:ilvl w:val="0"/>
          <w:numId w:val="9"/>
        </w:numPr>
        <w:jc w:val="both"/>
        <w:rPr>
          <w:rFonts w:ascii="Lato" w:hAnsi="Lato" w:cs="Segoe UI Light"/>
          <w:sz w:val="20"/>
          <w:szCs w:val="20"/>
        </w:rPr>
      </w:pPr>
      <w:r w:rsidRPr="007E09FC">
        <w:rPr>
          <w:rFonts w:ascii="Lato" w:hAnsi="Lato" w:cs="Segoe UI Light"/>
          <w:sz w:val="20"/>
          <w:szCs w:val="20"/>
        </w:rPr>
        <w:t xml:space="preserve">Oferta podmiotu uprawnionego do badania winna zawierać </w:t>
      </w:r>
      <w:r w:rsidR="00D52B30" w:rsidRPr="007E09FC">
        <w:rPr>
          <w:rFonts w:ascii="Lato" w:hAnsi="Lato" w:cs="Segoe UI Light"/>
          <w:sz w:val="20"/>
          <w:szCs w:val="20"/>
        </w:rPr>
        <w:t>co najmniej</w:t>
      </w:r>
      <w:r w:rsidRPr="007E09FC">
        <w:rPr>
          <w:rFonts w:ascii="Lato" w:hAnsi="Lato" w:cs="Segoe UI Light"/>
          <w:sz w:val="20"/>
          <w:szCs w:val="20"/>
        </w:rPr>
        <w:t>:</w:t>
      </w:r>
    </w:p>
    <w:p w14:paraId="6980449F" w14:textId="482607A7" w:rsidR="005116A5" w:rsidRPr="00605F11" w:rsidRDefault="005116A5" w:rsidP="00BD606E">
      <w:pPr>
        <w:pStyle w:val="Akapitzlist"/>
        <w:numPr>
          <w:ilvl w:val="0"/>
          <w:numId w:val="2"/>
        </w:numPr>
        <w:spacing w:before="120" w:after="120" w:line="276" w:lineRule="auto"/>
        <w:ind w:left="709" w:hanging="142"/>
        <w:jc w:val="both"/>
        <w:rPr>
          <w:rFonts w:ascii="Lato" w:hAnsi="Lato" w:cs="Segoe UI Light"/>
          <w:sz w:val="20"/>
          <w:szCs w:val="20"/>
        </w:rPr>
      </w:pPr>
      <w:r w:rsidRPr="00605F11">
        <w:rPr>
          <w:rFonts w:ascii="Lato" w:hAnsi="Lato" w:cs="Segoe UI Light"/>
          <w:sz w:val="20"/>
          <w:szCs w:val="20"/>
        </w:rPr>
        <w:t xml:space="preserve">informację o </w:t>
      </w:r>
      <w:r w:rsidR="00A7274C" w:rsidRPr="00605F11">
        <w:rPr>
          <w:rFonts w:ascii="Lato" w:hAnsi="Lato" w:cs="Segoe UI Light"/>
          <w:sz w:val="20"/>
          <w:szCs w:val="20"/>
        </w:rPr>
        <w:t>O</w:t>
      </w:r>
      <w:r w:rsidRPr="00605F11">
        <w:rPr>
          <w:rFonts w:ascii="Lato" w:hAnsi="Lato" w:cs="Segoe UI Light"/>
          <w:sz w:val="20"/>
          <w:szCs w:val="20"/>
        </w:rPr>
        <w:t>ferencie, w tym o formie prowadzonej działalności, wpisie do rejestru biegłych rewidentów, wpisie na listę podmiotów uprawnionych do badania sprawozdań finansowych;</w:t>
      </w:r>
    </w:p>
    <w:p w14:paraId="78D5863D" w14:textId="2D9F38D3" w:rsidR="005116A5" w:rsidRPr="00605F11" w:rsidRDefault="005116A5" w:rsidP="00BD606E">
      <w:pPr>
        <w:pStyle w:val="Akapitzlist"/>
        <w:numPr>
          <w:ilvl w:val="0"/>
          <w:numId w:val="2"/>
        </w:numPr>
        <w:spacing w:before="120" w:after="120" w:line="276" w:lineRule="auto"/>
        <w:ind w:left="709" w:hanging="142"/>
        <w:jc w:val="both"/>
        <w:rPr>
          <w:rFonts w:ascii="Lato" w:hAnsi="Lato" w:cs="Segoe UI Light"/>
          <w:sz w:val="20"/>
          <w:szCs w:val="20"/>
        </w:rPr>
      </w:pPr>
      <w:r w:rsidRPr="00605F11">
        <w:rPr>
          <w:rFonts w:ascii="Lato" w:hAnsi="Lato" w:cs="Segoe UI Light"/>
          <w:sz w:val="20"/>
          <w:szCs w:val="20"/>
        </w:rPr>
        <w:t>oświadczenie o spełnieniu ustawowo określonych warunków do wyrażenia bezstronnej i niezależnej opinii o badanym sprawozdaniu finansowym</w:t>
      </w:r>
      <w:r w:rsidR="00D52B30">
        <w:rPr>
          <w:rFonts w:ascii="Lato" w:hAnsi="Lato" w:cs="Segoe UI Light"/>
          <w:sz w:val="20"/>
          <w:szCs w:val="20"/>
        </w:rPr>
        <w:t xml:space="preserve"> (załącznik </w:t>
      </w:r>
      <w:r w:rsidR="00B5520D">
        <w:rPr>
          <w:rFonts w:ascii="Lato" w:hAnsi="Lato" w:cs="Segoe UI Light"/>
          <w:sz w:val="20"/>
          <w:szCs w:val="20"/>
        </w:rPr>
        <w:t>nr 5)</w:t>
      </w:r>
      <w:r w:rsidRPr="00605F11">
        <w:rPr>
          <w:rFonts w:ascii="Lato" w:hAnsi="Lato" w:cs="Segoe UI Light"/>
          <w:sz w:val="20"/>
          <w:szCs w:val="20"/>
        </w:rPr>
        <w:t>;</w:t>
      </w:r>
    </w:p>
    <w:p w14:paraId="328BC361" w14:textId="6C085EAC" w:rsidR="005116A5" w:rsidRPr="00605F11" w:rsidRDefault="00D56216" w:rsidP="00BD606E">
      <w:pPr>
        <w:pStyle w:val="Akapitzlist"/>
        <w:numPr>
          <w:ilvl w:val="0"/>
          <w:numId w:val="3"/>
        </w:numPr>
        <w:spacing w:before="120" w:after="120" w:line="276" w:lineRule="auto"/>
        <w:ind w:left="709" w:hanging="142"/>
        <w:jc w:val="both"/>
        <w:rPr>
          <w:rFonts w:ascii="Lato" w:hAnsi="Lato" w:cs="Segoe UI Light"/>
          <w:sz w:val="20"/>
          <w:szCs w:val="20"/>
        </w:rPr>
      </w:pPr>
      <w:r>
        <w:rPr>
          <w:rFonts w:ascii="Lato" w:hAnsi="Lato" w:cs="Segoe UI Light"/>
          <w:sz w:val="20"/>
          <w:szCs w:val="20"/>
        </w:rPr>
        <w:t>prezentacja</w:t>
      </w:r>
      <w:r w:rsidR="005116A5" w:rsidRPr="00605F11">
        <w:rPr>
          <w:rFonts w:ascii="Lato" w:hAnsi="Lato" w:cs="Segoe UI Light"/>
          <w:sz w:val="20"/>
          <w:szCs w:val="20"/>
        </w:rPr>
        <w:t xml:space="preserve"> metod</w:t>
      </w:r>
      <w:r>
        <w:rPr>
          <w:rFonts w:ascii="Lato" w:hAnsi="Lato" w:cs="Segoe UI Light"/>
          <w:sz w:val="20"/>
          <w:szCs w:val="20"/>
        </w:rPr>
        <w:t>, narzędzi i podejścia do badania</w:t>
      </w:r>
      <w:r w:rsidR="005116A5" w:rsidRPr="00605F11">
        <w:rPr>
          <w:rFonts w:ascii="Lato" w:hAnsi="Lato" w:cs="Segoe UI Light"/>
          <w:sz w:val="20"/>
          <w:szCs w:val="20"/>
        </w:rPr>
        <w:t xml:space="preserve"> </w:t>
      </w:r>
      <w:r>
        <w:rPr>
          <w:rFonts w:ascii="Lato" w:hAnsi="Lato" w:cs="Segoe UI Light"/>
          <w:sz w:val="20"/>
          <w:szCs w:val="20"/>
        </w:rPr>
        <w:t>oraz</w:t>
      </w:r>
      <w:r w:rsidR="005116A5" w:rsidRPr="00605F11">
        <w:rPr>
          <w:rFonts w:ascii="Lato" w:hAnsi="Lato" w:cs="Segoe UI Light"/>
          <w:sz w:val="20"/>
          <w:szCs w:val="20"/>
        </w:rPr>
        <w:t xml:space="preserve"> </w:t>
      </w:r>
      <w:r>
        <w:rPr>
          <w:rFonts w:ascii="Lato" w:hAnsi="Lato" w:cs="Segoe UI Light"/>
          <w:sz w:val="20"/>
          <w:szCs w:val="20"/>
        </w:rPr>
        <w:t xml:space="preserve">proponowane </w:t>
      </w:r>
      <w:r w:rsidR="005116A5" w:rsidRPr="00605F11">
        <w:rPr>
          <w:rFonts w:ascii="Lato" w:hAnsi="Lato" w:cs="Segoe UI Light"/>
          <w:sz w:val="20"/>
          <w:szCs w:val="20"/>
        </w:rPr>
        <w:t>terminy prac związan</w:t>
      </w:r>
      <w:r w:rsidR="003343EA">
        <w:rPr>
          <w:rFonts w:ascii="Lato" w:hAnsi="Lato" w:cs="Segoe UI Light"/>
          <w:sz w:val="20"/>
          <w:szCs w:val="20"/>
        </w:rPr>
        <w:t>e</w:t>
      </w:r>
      <w:r w:rsidR="005116A5" w:rsidRPr="00605F11">
        <w:rPr>
          <w:rFonts w:ascii="Lato" w:hAnsi="Lato" w:cs="Segoe UI Light"/>
          <w:sz w:val="20"/>
          <w:szCs w:val="20"/>
        </w:rPr>
        <w:t xml:space="preserve"> z badaniem</w:t>
      </w:r>
      <w:r w:rsidR="003343EA">
        <w:rPr>
          <w:rFonts w:ascii="Lato" w:hAnsi="Lato" w:cs="Segoe UI Light"/>
          <w:sz w:val="20"/>
          <w:szCs w:val="20"/>
        </w:rPr>
        <w:t>/przeglądem</w:t>
      </w:r>
      <w:r w:rsidR="005116A5" w:rsidRPr="00605F11">
        <w:rPr>
          <w:rFonts w:ascii="Lato" w:hAnsi="Lato" w:cs="Segoe UI Light"/>
          <w:sz w:val="20"/>
          <w:szCs w:val="20"/>
        </w:rPr>
        <w:t xml:space="preserve"> sprawozda</w:t>
      </w:r>
      <w:r w:rsidR="003343EA">
        <w:rPr>
          <w:rFonts w:ascii="Lato" w:hAnsi="Lato" w:cs="Segoe UI Light"/>
          <w:sz w:val="20"/>
          <w:szCs w:val="20"/>
        </w:rPr>
        <w:t>ń</w:t>
      </w:r>
      <w:r w:rsidR="005116A5" w:rsidRPr="00605F11">
        <w:rPr>
          <w:rFonts w:ascii="Lato" w:hAnsi="Lato" w:cs="Segoe UI Light"/>
          <w:sz w:val="20"/>
          <w:szCs w:val="20"/>
        </w:rPr>
        <w:t xml:space="preserve"> finansow</w:t>
      </w:r>
      <w:r w:rsidR="003343EA">
        <w:rPr>
          <w:rFonts w:ascii="Lato" w:hAnsi="Lato" w:cs="Segoe UI Light"/>
          <w:sz w:val="20"/>
          <w:szCs w:val="20"/>
        </w:rPr>
        <w:t>ych</w:t>
      </w:r>
      <w:r w:rsidR="005116A5" w:rsidRPr="00605F11">
        <w:rPr>
          <w:rFonts w:ascii="Lato" w:hAnsi="Lato" w:cs="Segoe UI Light"/>
          <w:sz w:val="20"/>
          <w:szCs w:val="20"/>
        </w:rPr>
        <w:t>;</w:t>
      </w:r>
    </w:p>
    <w:p w14:paraId="36D32566" w14:textId="6F5EF6EA" w:rsidR="005116A5" w:rsidRPr="00605F11" w:rsidRDefault="005116A5" w:rsidP="00BD606E">
      <w:pPr>
        <w:pStyle w:val="Akapitzlist"/>
        <w:numPr>
          <w:ilvl w:val="0"/>
          <w:numId w:val="3"/>
        </w:numPr>
        <w:spacing w:before="120" w:after="120" w:line="276" w:lineRule="auto"/>
        <w:ind w:left="709" w:hanging="142"/>
        <w:jc w:val="both"/>
        <w:rPr>
          <w:rFonts w:ascii="Lato" w:hAnsi="Lato" w:cs="Segoe UI Light"/>
          <w:sz w:val="20"/>
          <w:szCs w:val="20"/>
        </w:rPr>
      </w:pPr>
      <w:r w:rsidRPr="00605F11">
        <w:rPr>
          <w:rFonts w:ascii="Lato" w:hAnsi="Lato" w:cs="Segoe UI Light"/>
          <w:sz w:val="20"/>
          <w:szCs w:val="20"/>
        </w:rPr>
        <w:t>prezentację zespołu audytowego;</w:t>
      </w:r>
    </w:p>
    <w:p w14:paraId="42553A36" w14:textId="4BF668EB" w:rsidR="000A1022" w:rsidRPr="000A1022" w:rsidRDefault="005116A5" w:rsidP="000A1022">
      <w:pPr>
        <w:pStyle w:val="Akapitzlist"/>
        <w:numPr>
          <w:ilvl w:val="0"/>
          <w:numId w:val="3"/>
        </w:numPr>
        <w:spacing w:before="120" w:after="120" w:line="276" w:lineRule="auto"/>
        <w:ind w:left="709" w:hanging="142"/>
        <w:jc w:val="both"/>
        <w:rPr>
          <w:rFonts w:ascii="Lato" w:hAnsi="Lato" w:cs="Segoe UI Light"/>
          <w:sz w:val="20"/>
          <w:szCs w:val="20"/>
        </w:rPr>
      </w:pPr>
      <w:r w:rsidRPr="00605F11">
        <w:rPr>
          <w:rFonts w:ascii="Lato" w:hAnsi="Lato" w:cs="Segoe UI Light"/>
          <w:sz w:val="20"/>
          <w:szCs w:val="20"/>
        </w:rPr>
        <w:t>warunki cenowe i terminy płatności</w:t>
      </w:r>
      <w:r w:rsidR="000A1022">
        <w:rPr>
          <w:rFonts w:ascii="Lato" w:hAnsi="Lato" w:cs="Segoe UI Light"/>
          <w:sz w:val="20"/>
          <w:szCs w:val="20"/>
        </w:rPr>
        <w:t xml:space="preserve">   - o</w:t>
      </w:r>
      <w:r w:rsidR="000A1022" w:rsidRPr="000A1022">
        <w:rPr>
          <w:rFonts w:ascii="Lato" w:hAnsi="Lato" w:cs="Segoe UI Light"/>
          <w:sz w:val="20"/>
          <w:szCs w:val="20"/>
        </w:rPr>
        <w:t xml:space="preserve">fertę cenową na prace, </w:t>
      </w:r>
      <w:r w:rsidR="000A1022">
        <w:rPr>
          <w:rFonts w:ascii="Lato" w:hAnsi="Lato" w:cs="Segoe UI Light"/>
          <w:sz w:val="20"/>
          <w:szCs w:val="20"/>
        </w:rPr>
        <w:t xml:space="preserve"> </w:t>
      </w:r>
      <w:r w:rsidR="000A1022" w:rsidRPr="000A1022">
        <w:rPr>
          <w:rFonts w:ascii="Lato" w:hAnsi="Lato" w:cs="Segoe UI Light"/>
          <w:sz w:val="20"/>
          <w:szCs w:val="20"/>
        </w:rPr>
        <w:t>należy przedstawić dla wariantu</w:t>
      </w:r>
    </w:p>
    <w:p w14:paraId="5D4E86A1" w14:textId="35534DDF" w:rsidR="005116A5" w:rsidRPr="00605F11" w:rsidRDefault="003343EA" w:rsidP="003343EA">
      <w:pPr>
        <w:pStyle w:val="Akapitzlist"/>
        <w:spacing w:before="120" w:after="120" w:line="276" w:lineRule="auto"/>
        <w:ind w:left="709"/>
        <w:jc w:val="both"/>
        <w:rPr>
          <w:rFonts w:ascii="Lato" w:hAnsi="Lato" w:cs="Segoe UI Light"/>
          <w:sz w:val="20"/>
          <w:szCs w:val="20"/>
        </w:rPr>
      </w:pPr>
      <w:r>
        <w:rPr>
          <w:rFonts w:ascii="Lato" w:hAnsi="Lato" w:cs="Segoe UI Light"/>
          <w:sz w:val="20"/>
          <w:szCs w:val="20"/>
        </w:rPr>
        <w:t>trzyletniego</w:t>
      </w:r>
      <w:r w:rsidR="000A1022" w:rsidRPr="000A1022">
        <w:rPr>
          <w:rFonts w:ascii="Lato" w:hAnsi="Lato" w:cs="Segoe UI Light"/>
          <w:sz w:val="20"/>
          <w:szCs w:val="20"/>
        </w:rPr>
        <w:t xml:space="preserve"> z opcją przedłużenia na </w:t>
      </w:r>
      <w:r w:rsidRPr="003343EA">
        <w:rPr>
          <w:rFonts w:ascii="Lato" w:hAnsi="Lato" w:cs="Segoe UI Light"/>
          <w:sz w:val="20"/>
          <w:szCs w:val="20"/>
        </w:rPr>
        <w:t>dwa dwuletnie kolejne okresy</w:t>
      </w:r>
      <w:r w:rsidR="000A1022" w:rsidRPr="000A1022">
        <w:rPr>
          <w:rFonts w:ascii="Lato" w:hAnsi="Lato" w:cs="Segoe UI Light"/>
          <w:sz w:val="20"/>
          <w:szCs w:val="20"/>
        </w:rPr>
        <w:t xml:space="preserve">, zgodnie z załącznikiem nr </w:t>
      </w:r>
      <w:r w:rsidR="000A1022">
        <w:rPr>
          <w:rFonts w:ascii="Lato" w:hAnsi="Lato" w:cs="Segoe UI Light"/>
          <w:sz w:val="20"/>
          <w:szCs w:val="20"/>
        </w:rPr>
        <w:t>4</w:t>
      </w:r>
      <w:r w:rsidR="000A1022" w:rsidRPr="000A1022">
        <w:rPr>
          <w:rFonts w:ascii="Lato" w:hAnsi="Lato" w:cs="Segoe UI Light"/>
          <w:sz w:val="20"/>
          <w:szCs w:val="20"/>
        </w:rPr>
        <w:t xml:space="preserve"> </w:t>
      </w:r>
    </w:p>
    <w:p w14:paraId="288FC0C1" w14:textId="71375826" w:rsidR="005116A5" w:rsidRDefault="005116A5" w:rsidP="000E61CA">
      <w:pPr>
        <w:pStyle w:val="Akapitzlist"/>
        <w:numPr>
          <w:ilvl w:val="0"/>
          <w:numId w:val="9"/>
        </w:numPr>
        <w:jc w:val="both"/>
        <w:rPr>
          <w:rFonts w:ascii="Lato" w:hAnsi="Lato" w:cs="Segoe UI Light"/>
          <w:sz w:val="20"/>
          <w:szCs w:val="20"/>
        </w:rPr>
      </w:pPr>
      <w:r w:rsidRPr="007E09FC">
        <w:rPr>
          <w:rFonts w:ascii="Lato" w:hAnsi="Lato" w:cs="Segoe UI Light"/>
          <w:sz w:val="20"/>
          <w:szCs w:val="20"/>
        </w:rPr>
        <w:t xml:space="preserve">Proces składania ofert odbywa się za pomocą poczty elektronicznej na adres: </w:t>
      </w:r>
      <w:hyperlink r:id="rId12" w:history="1">
        <w:r w:rsidRPr="000E61CA">
          <w:rPr>
            <w:rStyle w:val="Hipercze"/>
            <w:rFonts w:ascii="Lato" w:hAnsi="Lato" w:cs="Segoe UI Light"/>
            <w:sz w:val="20"/>
            <w:szCs w:val="20"/>
          </w:rPr>
          <w:t>urszula.nowik@alior.pl</w:t>
        </w:r>
      </w:hyperlink>
      <w:r w:rsidRPr="007E09FC">
        <w:rPr>
          <w:rFonts w:ascii="Lato" w:hAnsi="Lato" w:cs="Segoe UI Light"/>
          <w:sz w:val="20"/>
          <w:szCs w:val="20"/>
        </w:rPr>
        <w:t xml:space="preserve"> do dnia </w:t>
      </w:r>
      <w:r w:rsidR="00CD6D2D">
        <w:rPr>
          <w:rFonts w:ascii="Lato" w:hAnsi="Lato" w:cs="Segoe UI Light"/>
          <w:sz w:val="20"/>
          <w:szCs w:val="20"/>
        </w:rPr>
        <w:t>3</w:t>
      </w:r>
      <w:r w:rsidRPr="007E09FC">
        <w:rPr>
          <w:rFonts w:ascii="Lato" w:hAnsi="Lato" w:cs="Segoe UI Light"/>
          <w:sz w:val="20"/>
          <w:szCs w:val="20"/>
        </w:rPr>
        <w:t xml:space="preserve">1 </w:t>
      </w:r>
      <w:r w:rsidR="00BD606E" w:rsidRPr="007E09FC">
        <w:rPr>
          <w:rFonts w:ascii="Lato" w:hAnsi="Lato" w:cs="Segoe UI Light"/>
          <w:sz w:val="20"/>
          <w:szCs w:val="20"/>
        </w:rPr>
        <w:t>lipca</w:t>
      </w:r>
      <w:r w:rsidRPr="007E09FC">
        <w:rPr>
          <w:rFonts w:ascii="Lato" w:hAnsi="Lato" w:cs="Segoe UI Light"/>
          <w:sz w:val="20"/>
          <w:szCs w:val="20"/>
        </w:rPr>
        <w:t xml:space="preserve"> 20</w:t>
      </w:r>
      <w:r w:rsidR="00BD606E" w:rsidRPr="007E09FC">
        <w:rPr>
          <w:rFonts w:ascii="Lato" w:hAnsi="Lato" w:cs="Segoe UI Light"/>
          <w:sz w:val="20"/>
          <w:szCs w:val="20"/>
        </w:rPr>
        <w:t>22</w:t>
      </w:r>
      <w:r w:rsidRPr="007E09FC">
        <w:rPr>
          <w:rFonts w:ascii="Lato" w:hAnsi="Lato" w:cs="Segoe UI Light"/>
          <w:sz w:val="20"/>
          <w:szCs w:val="20"/>
        </w:rPr>
        <w:t xml:space="preserve"> roku.</w:t>
      </w:r>
    </w:p>
    <w:p w14:paraId="3A7F0AEC" w14:textId="19E16164" w:rsidR="000E61CA" w:rsidRPr="007E09FC" w:rsidRDefault="005116A5" w:rsidP="007E09FC">
      <w:pPr>
        <w:pStyle w:val="Akapitzlist"/>
        <w:numPr>
          <w:ilvl w:val="0"/>
          <w:numId w:val="9"/>
        </w:numPr>
        <w:jc w:val="both"/>
        <w:rPr>
          <w:rFonts w:ascii="Lato" w:hAnsi="Lato" w:cs="Segoe UI Light"/>
          <w:sz w:val="20"/>
          <w:szCs w:val="20"/>
        </w:rPr>
      </w:pPr>
      <w:r w:rsidRPr="007E09FC">
        <w:rPr>
          <w:rFonts w:ascii="Lato" w:hAnsi="Lato" w:cs="Segoe UI Light"/>
          <w:sz w:val="20"/>
          <w:szCs w:val="20"/>
        </w:rPr>
        <w:t>W ramach post</w:t>
      </w:r>
      <w:r w:rsidR="004436C1" w:rsidRPr="007E09FC">
        <w:rPr>
          <w:rFonts w:ascii="Lato" w:hAnsi="Lato" w:cs="Segoe UI Light"/>
          <w:sz w:val="20"/>
          <w:szCs w:val="20"/>
        </w:rPr>
        <w:t>ę</w:t>
      </w:r>
      <w:r w:rsidRPr="007E09FC">
        <w:rPr>
          <w:rFonts w:ascii="Lato" w:hAnsi="Lato" w:cs="Segoe UI Light"/>
          <w:sz w:val="20"/>
          <w:szCs w:val="20"/>
        </w:rPr>
        <w:t>powania mogą odbyć się spotkania z Oferentami w celu prezentacji złożonej oferty oraz omówienia jej szczegółów, a także przeprowadzenia negocjacji.</w:t>
      </w:r>
    </w:p>
    <w:p w14:paraId="76BEF8BE" w14:textId="0658DB50" w:rsidR="00B51EB8" w:rsidRPr="007E09FC" w:rsidRDefault="002D64B9" w:rsidP="007E09FC">
      <w:pPr>
        <w:pStyle w:val="Akapitzlist"/>
        <w:numPr>
          <w:ilvl w:val="0"/>
          <w:numId w:val="9"/>
        </w:numPr>
        <w:jc w:val="both"/>
        <w:rPr>
          <w:rFonts w:ascii="Lato" w:hAnsi="Lato" w:cs="Segoe UI Light"/>
          <w:sz w:val="20"/>
          <w:szCs w:val="20"/>
        </w:rPr>
      </w:pPr>
      <w:r w:rsidRPr="007E09FC">
        <w:rPr>
          <w:rFonts w:ascii="Lato" w:hAnsi="Lato" w:cs="Segoe UI Light"/>
          <w:sz w:val="20"/>
          <w:szCs w:val="20"/>
        </w:rPr>
        <w:lastRenderedPageBreak/>
        <w:t xml:space="preserve">Wybór firmy audytorskiej zostanie dokonany przez Radę Nadzorczą </w:t>
      </w:r>
      <w:r w:rsidR="005116A5" w:rsidRPr="007E09FC">
        <w:rPr>
          <w:rFonts w:ascii="Lato" w:hAnsi="Lato" w:cs="Segoe UI Light"/>
          <w:sz w:val="20"/>
          <w:szCs w:val="20"/>
        </w:rPr>
        <w:t>Alior Banku SA</w:t>
      </w:r>
      <w:r w:rsidRPr="007E09FC">
        <w:rPr>
          <w:rFonts w:ascii="Lato" w:hAnsi="Lato" w:cs="Segoe UI Light"/>
          <w:sz w:val="20"/>
          <w:szCs w:val="20"/>
        </w:rPr>
        <w:t>.</w:t>
      </w:r>
    </w:p>
    <w:p w14:paraId="70C38867" w14:textId="3832E9E3" w:rsidR="00B51EB8" w:rsidRPr="00B51EB8" w:rsidRDefault="00B51EB8" w:rsidP="00B51EB8">
      <w:pPr>
        <w:jc w:val="both"/>
        <w:rPr>
          <w:rStyle w:val="highlight"/>
          <w:rFonts w:ascii="Lato" w:hAnsi="Lato" w:cs="Arial"/>
          <w:b/>
          <w:bCs/>
          <w:sz w:val="20"/>
          <w:szCs w:val="20"/>
          <w:u w:val="single"/>
        </w:rPr>
      </w:pPr>
      <w:r w:rsidRPr="00B51EB8">
        <w:rPr>
          <w:rStyle w:val="highlight"/>
          <w:rFonts w:ascii="Lato" w:hAnsi="Lato" w:cs="Arial"/>
          <w:b/>
          <w:bCs/>
          <w:sz w:val="20"/>
          <w:szCs w:val="20"/>
          <w:u w:val="single"/>
        </w:rPr>
        <w:t>Kryteria oceny ofert</w:t>
      </w:r>
    </w:p>
    <w:p w14:paraId="33BF73F5" w14:textId="77777777" w:rsidR="00B51EB8" w:rsidRDefault="00B51EB8" w:rsidP="00B51EB8">
      <w:pPr>
        <w:jc w:val="both"/>
        <w:rPr>
          <w:rFonts w:ascii="Lato" w:hAnsi="Lato" w:cs="Arial"/>
          <w:sz w:val="20"/>
          <w:szCs w:val="20"/>
        </w:rPr>
      </w:pPr>
      <w:r w:rsidRPr="00B51EB8">
        <w:rPr>
          <w:rFonts w:ascii="Lato" w:hAnsi="Lato" w:cs="Arial"/>
          <w:sz w:val="20"/>
          <w:szCs w:val="20"/>
        </w:rPr>
        <w:t>Ocena ofert będzie dokonana na podstawie następujących kryteriów:</w:t>
      </w:r>
    </w:p>
    <w:p w14:paraId="71D11733" w14:textId="0E1CD733" w:rsidR="00B51EB8" w:rsidRPr="00B51EB8" w:rsidRDefault="00B51EB8" w:rsidP="00B51EB8">
      <w:pPr>
        <w:pStyle w:val="Akapitzlist"/>
        <w:numPr>
          <w:ilvl w:val="0"/>
          <w:numId w:val="6"/>
        </w:numPr>
        <w:ind w:hanging="294"/>
        <w:jc w:val="both"/>
        <w:rPr>
          <w:rFonts w:ascii="Lato" w:hAnsi="Lato" w:cs="Segoe UI Light"/>
          <w:b/>
          <w:sz w:val="20"/>
          <w:szCs w:val="20"/>
        </w:rPr>
      </w:pPr>
      <w:r>
        <w:rPr>
          <w:rFonts w:ascii="Lato" w:hAnsi="Lato" w:cs="Arial"/>
          <w:sz w:val="20"/>
          <w:szCs w:val="20"/>
        </w:rPr>
        <w:t>o</w:t>
      </w:r>
      <w:r w:rsidRPr="00B51EB8">
        <w:rPr>
          <w:rFonts w:ascii="Lato" w:hAnsi="Lato" w:cs="Arial"/>
          <w:sz w:val="20"/>
          <w:szCs w:val="20"/>
        </w:rPr>
        <w:t>ceny jakościowej</w:t>
      </w:r>
      <w:r>
        <w:rPr>
          <w:rFonts w:ascii="Lato" w:hAnsi="Lato" w:cs="Arial"/>
          <w:sz w:val="20"/>
          <w:szCs w:val="20"/>
        </w:rPr>
        <w:t xml:space="preserve"> </w:t>
      </w:r>
      <w:r w:rsidRPr="00B51EB8">
        <w:rPr>
          <w:rFonts w:ascii="Lato" w:hAnsi="Lato" w:cs="Arial"/>
          <w:sz w:val="20"/>
          <w:szCs w:val="20"/>
        </w:rPr>
        <w:t>uwzględniającej m. in.</w:t>
      </w:r>
      <w:r>
        <w:rPr>
          <w:rFonts w:ascii="Lato" w:hAnsi="Lato" w:cs="Arial"/>
          <w:sz w:val="20"/>
          <w:szCs w:val="20"/>
        </w:rPr>
        <w:t>:</w:t>
      </w:r>
      <w:r w:rsidRPr="00B51EB8">
        <w:rPr>
          <w:rFonts w:ascii="Lato" w:hAnsi="Lato" w:cs="Arial"/>
          <w:sz w:val="20"/>
          <w:szCs w:val="20"/>
        </w:rPr>
        <w:t xml:space="preserve"> </w:t>
      </w:r>
    </w:p>
    <w:p w14:paraId="54F55C58" w14:textId="46897EBB" w:rsidR="001D5936" w:rsidRDefault="00B51EB8" w:rsidP="00B51EB8">
      <w:pPr>
        <w:pStyle w:val="Akapitzlist"/>
        <w:numPr>
          <w:ilvl w:val="0"/>
          <w:numId w:val="7"/>
        </w:numPr>
        <w:ind w:left="709" w:hanging="283"/>
        <w:jc w:val="both"/>
        <w:rPr>
          <w:rFonts w:ascii="Lato" w:hAnsi="Lato" w:cs="Segoe UI Light"/>
          <w:bCs/>
          <w:sz w:val="20"/>
          <w:szCs w:val="20"/>
        </w:rPr>
      </w:pPr>
      <w:r>
        <w:rPr>
          <w:rFonts w:ascii="Lato" w:hAnsi="Lato" w:cs="Segoe UI Light"/>
          <w:bCs/>
          <w:sz w:val="20"/>
          <w:szCs w:val="20"/>
        </w:rPr>
        <w:t>ocenę d</w:t>
      </w:r>
      <w:r w:rsidRPr="00B51EB8">
        <w:rPr>
          <w:rFonts w:ascii="Lato" w:hAnsi="Lato" w:cs="Segoe UI Light"/>
          <w:bCs/>
          <w:sz w:val="20"/>
          <w:szCs w:val="20"/>
        </w:rPr>
        <w:t>oświadczeni</w:t>
      </w:r>
      <w:r>
        <w:rPr>
          <w:rFonts w:ascii="Lato" w:hAnsi="Lato" w:cs="Segoe UI Light"/>
          <w:bCs/>
          <w:sz w:val="20"/>
          <w:szCs w:val="20"/>
        </w:rPr>
        <w:t>a</w:t>
      </w:r>
      <w:r w:rsidRPr="00B51EB8">
        <w:rPr>
          <w:rFonts w:ascii="Lato" w:hAnsi="Lato" w:cs="Segoe UI Light"/>
          <w:bCs/>
          <w:sz w:val="20"/>
          <w:szCs w:val="20"/>
        </w:rPr>
        <w:t xml:space="preserve"> podmiotu uprawnionego do badania,</w:t>
      </w:r>
      <w:r w:rsidR="001D5936">
        <w:rPr>
          <w:rFonts w:ascii="Lato" w:hAnsi="Lato" w:cs="Segoe UI Light"/>
          <w:bCs/>
          <w:sz w:val="20"/>
          <w:szCs w:val="20"/>
        </w:rPr>
        <w:t xml:space="preserve"> w szczególności w branży finansowej </w:t>
      </w:r>
      <w:r w:rsidR="001D5936" w:rsidRPr="00B51EB8">
        <w:rPr>
          <w:rFonts w:ascii="Lato" w:hAnsi="Lato" w:cs="Segoe UI Light"/>
          <w:bCs/>
          <w:sz w:val="20"/>
          <w:szCs w:val="20"/>
        </w:rPr>
        <w:t xml:space="preserve"> </w:t>
      </w:r>
    </w:p>
    <w:p w14:paraId="66B07478" w14:textId="322330E0" w:rsidR="00B51EB8" w:rsidRPr="001D5936" w:rsidRDefault="001D5936" w:rsidP="00B51EB8">
      <w:pPr>
        <w:pStyle w:val="Akapitzlist"/>
        <w:numPr>
          <w:ilvl w:val="0"/>
          <w:numId w:val="7"/>
        </w:numPr>
        <w:ind w:left="709" w:hanging="283"/>
        <w:jc w:val="both"/>
        <w:rPr>
          <w:rFonts w:ascii="Lato" w:hAnsi="Lato" w:cs="Segoe UI Light"/>
          <w:bCs/>
          <w:strike/>
          <w:sz w:val="20"/>
          <w:szCs w:val="20"/>
        </w:rPr>
      </w:pPr>
      <w:r>
        <w:rPr>
          <w:rFonts w:ascii="Lato" w:hAnsi="Lato" w:cs="Segoe UI Light"/>
          <w:bCs/>
          <w:sz w:val="20"/>
          <w:szCs w:val="20"/>
        </w:rPr>
        <w:t xml:space="preserve">ocenę doświadczenia zespołu audytowego w szczególności w branży finansowej </w:t>
      </w:r>
      <w:r w:rsidR="00B51EB8" w:rsidRPr="00B51EB8">
        <w:rPr>
          <w:rFonts w:ascii="Lato" w:hAnsi="Lato" w:cs="Segoe UI Light"/>
          <w:bCs/>
          <w:sz w:val="20"/>
          <w:szCs w:val="20"/>
        </w:rPr>
        <w:t xml:space="preserve"> </w:t>
      </w:r>
    </w:p>
    <w:p w14:paraId="71187176" w14:textId="02941FA9" w:rsidR="00B51EB8" w:rsidRPr="00B51EB8" w:rsidRDefault="00B51EB8" w:rsidP="00B51EB8">
      <w:pPr>
        <w:pStyle w:val="Akapitzlist"/>
        <w:numPr>
          <w:ilvl w:val="0"/>
          <w:numId w:val="7"/>
        </w:numPr>
        <w:ind w:left="709" w:hanging="283"/>
        <w:jc w:val="both"/>
        <w:rPr>
          <w:rFonts w:ascii="Lato" w:hAnsi="Lato" w:cs="Segoe UI Light"/>
          <w:bCs/>
          <w:sz w:val="20"/>
          <w:szCs w:val="20"/>
        </w:rPr>
      </w:pPr>
      <w:r>
        <w:rPr>
          <w:rFonts w:ascii="Lato" w:hAnsi="Lato" w:cs="Segoe UI Light"/>
          <w:bCs/>
          <w:sz w:val="20"/>
          <w:szCs w:val="20"/>
        </w:rPr>
        <w:t>ocenę p</w:t>
      </w:r>
      <w:r w:rsidRPr="00B51EB8">
        <w:rPr>
          <w:rFonts w:ascii="Lato" w:hAnsi="Lato" w:cs="Segoe UI Light"/>
          <w:bCs/>
          <w:sz w:val="20"/>
          <w:szCs w:val="20"/>
        </w:rPr>
        <w:t>odejści</w:t>
      </w:r>
      <w:r>
        <w:rPr>
          <w:rFonts w:ascii="Lato" w:hAnsi="Lato" w:cs="Segoe UI Light"/>
          <w:bCs/>
          <w:sz w:val="20"/>
          <w:szCs w:val="20"/>
        </w:rPr>
        <w:t>a</w:t>
      </w:r>
      <w:r w:rsidRPr="00B51EB8">
        <w:rPr>
          <w:rFonts w:ascii="Lato" w:hAnsi="Lato" w:cs="Segoe UI Light"/>
          <w:bCs/>
          <w:sz w:val="20"/>
          <w:szCs w:val="20"/>
        </w:rPr>
        <w:t xml:space="preserve"> firmy audytorskiej do badania i strategia komunikacji: opis metod, których stosowania oczekuje się od biegłego rewidenta</w:t>
      </w:r>
      <w:r>
        <w:rPr>
          <w:rFonts w:ascii="Lato" w:hAnsi="Lato" w:cs="Segoe UI Light"/>
          <w:bCs/>
          <w:sz w:val="20"/>
          <w:szCs w:val="20"/>
        </w:rPr>
        <w:t xml:space="preserve"> w tym:</w:t>
      </w:r>
    </w:p>
    <w:p w14:paraId="51C5AE5B" w14:textId="77777777" w:rsidR="00B51EB8" w:rsidRPr="00B51EB8" w:rsidRDefault="00B51EB8" w:rsidP="00B51EB8">
      <w:pPr>
        <w:pStyle w:val="Akapitzlist"/>
        <w:numPr>
          <w:ilvl w:val="0"/>
          <w:numId w:val="7"/>
        </w:numPr>
        <w:jc w:val="both"/>
        <w:rPr>
          <w:rFonts w:ascii="Lato" w:hAnsi="Lato" w:cs="Segoe UI Light"/>
          <w:bCs/>
          <w:sz w:val="20"/>
          <w:szCs w:val="20"/>
        </w:rPr>
      </w:pPr>
      <w:r w:rsidRPr="00B51EB8">
        <w:rPr>
          <w:rFonts w:ascii="Lato" w:hAnsi="Lato" w:cs="Segoe UI Light"/>
          <w:bCs/>
          <w:sz w:val="20"/>
          <w:szCs w:val="20"/>
        </w:rPr>
        <w:t>obszary jednostki o szczególnym znaczeniu i podejście, jakie biegły rewident/firma audytorska będzie stosować do badania tych obszarów,</w:t>
      </w:r>
    </w:p>
    <w:p w14:paraId="27BEC7E1" w14:textId="77777777" w:rsidR="00B51EB8" w:rsidRPr="00B51EB8" w:rsidRDefault="00B51EB8" w:rsidP="00B51EB8">
      <w:pPr>
        <w:pStyle w:val="Akapitzlist"/>
        <w:numPr>
          <w:ilvl w:val="0"/>
          <w:numId w:val="7"/>
        </w:numPr>
        <w:jc w:val="both"/>
        <w:rPr>
          <w:rFonts w:ascii="Lato" w:hAnsi="Lato" w:cs="Segoe UI Light"/>
          <w:bCs/>
          <w:sz w:val="20"/>
          <w:szCs w:val="20"/>
        </w:rPr>
      </w:pPr>
      <w:r w:rsidRPr="00B51EB8">
        <w:rPr>
          <w:rFonts w:ascii="Lato" w:hAnsi="Lato" w:cs="Segoe UI Light"/>
          <w:bCs/>
          <w:sz w:val="20"/>
          <w:szCs w:val="20"/>
        </w:rPr>
        <w:t>pełny plan badania zapewniający odpowiednie wykonanie usługi,</w:t>
      </w:r>
    </w:p>
    <w:p w14:paraId="5D06CF04" w14:textId="77777777" w:rsidR="00B51EB8" w:rsidRPr="00B51EB8" w:rsidRDefault="00B51EB8" w:rsidP="00B51EB8">
      <w:pPr>
        <w:pStyle w:val="Akapitzlist"/>
        <w:numPr>
          <w:ilvl w:val="0"/>
          <w:numId w:val="7"/>
        </w:numPr>
        <w:jc w:val="both"/>
        <w:rPr>
          <w:rFonts w:ascii="Lato" w:hAnsi="Lato" w:cs="Segoe UI Light"/>
          <w:bCs/>
          <w:sz w:val="20"/>
          <w:szCs w:val="20"/>
        </w:rPr>
      </w:pPr>
      <w:r w:rsidRPr="00B51EB8">
        <w:rPr>
          <w:rFonts w:ascii="Lato" w:hAnsi="Lato" w:cs="Segoe UI Light"/>
          <w:bCs/>
          <w:sz w:val="20"/>
          <w:szCs w:val="20"/>
        </w:rPr>
        <w:t>korzystanie z narzędzi informatycznych,</w:t>
      </w:r>
    </w:p>
    <w:p w14:paraId="6940A2D8" w14:textId="77777777" w:rsidR="00B51EB8" w:rsidRPr="00B51EB8" w:rsidRDefault="00B51EB8" w:rsidP="00B51EB8">
      <w:pPr>
        <w:pStyle w:val="Akapitzlist"/>
        <w:numPr>
          <w:ilvl w:val="0"/>
          <w:numId w:val="7"/>
        </w:numPr>
        <w:jc w:val="both"/>
        <w:rPr>
          <w:rFonts w:ascii="Lato" w:hAnsi="Lato" w:cs="Segoe UI Light"/>
          <w:bCs/>
          <w:sz w:val="20"/>
          <w:szCs w:val="20"/>
        </w:rPr>
      </w:pPr>
      <w:r w:rsidRPr="00B51EB8">
        <w:rPr>
          <w:rFonts w:ascii="Lato" w:hAnsi="Lato" w:cs="Segoe UI Light"/>
          <w:bCs/>
          <w:sz w:val="20"/>
          <w:szCs w:val="20"/>
        </w:rPr>
        <w:t>dodatkowe sprawozdanie na rzecz jednostki, w którym biegły rewident przedstawi na przykład braki w zakresie systemu kontroli wewnętrznej,</w:t>
      </w:r>
    </w:p>
    <w:p w14:paraId="6FB422DD" w14:textId="77777777" w:rsidR="00B51EB8" w:rsidRPr="00B51EB8" w:rsidRDefault="00B51EB8" w:rsidP="00B51EB8">
      <w:pPr>
        <w:pStyle w:val="Akapitzlist"/>
        <w:numPr>
          <w:ilvl w:val="0"/>
          <w:numId w:val="7"/>
        </w:numPr>
        <w:jc w:val="both"/>
        <w:rPr>
          <w:rFonts w:ascii="Lato" w:hAnsi="Lato" w:cs="Segoe UI Light"/>
          <w:bCs/>
          <w:sz w:val="20"/>
          <w:szCs w:val="20"/>
        </w:rPr>
      </w:pPr>
      <w:r w:rsidRPr="00B51EB8">
        <w:rPr>
          <w:rFonts w:ascii="Lato" w:hAnsi="Lato" w:cs="Segoe UI Light"/>
          <w:bCs/>
          <w:sz w:val="20"/>
          <w:szCs w:val="20"/>
        </w:rPr>
        <w:t>kroki, które będą podjęte w celu zapewnienia terminowego dostarczenia informacji</w:t>
      </w:r>
    </w:p>
    <w:p w14:paraId="6CAA75CA" w14:textId="77777777" w:rsidR="00B51EB8" w:rsidRPr="00B51EB8" w:rsidRDefault="00B51EB8" w:rsidP="00B51EB8">
      <w:pPr>
        <w:pStyle w:val="Akapitzlist"/>
        <w:numPr>
          <w:ilvl w:val="0"/>
          <w:numId w:val="7"/>
        </w:numPr>
        <w:jc w:val="both"/>
        <w:rPr>
          <w:rFonts w:ascii="Lato" w:hAnsi="Lato" w:cs="Segoe UI Light"/>
          <w:bCs/>
          <w:sz w:val="20"/>
          <w:szCs w:val="20"/>
        </w:rPr>
      </w:pPr>
      <w:r w:rsidRPr="00B51EB8">
        <w:rPr>
          <w:rFonts w:ascii="Lato" w:hAnsi="Lato" w:cs="Segoe UI Light"/>
          <w:bCs/>
          <w:sz w:val="20"/>
          <w:szCs w:val="20"/>
        </w:rPr>
        <w:t>zasady zapewniające stały kontakt z kluczowym biegłym rewidentem w razie potrzeby uzyskania różnego rodzaju wyjaśnień (telefonicznych) czy organizacji krótkich spotkań w ciągu badana.</w:t>
      </w:r>
    </w:p>
    <w:p w14:paraId="6275A9D0" w14:textId="268703D8" w:rsidR="00B51EB8" w:rsidRPr="00B51EB8" w:rsidRDefault="007E09FC" w:rsidP="00B51EB8">
      <w:pPr>
        <w:pStyle w:val="Akapitzlist"/>
        <w:numPr>
          <w:ilvl w:val="0"/>
          <w:numId w:val="7"/>
        </w:numPr>
        <w:ind w:left="709" w:hanging="283"/>
        <w:jc w:val="both"/>
        <w:rPr>
          <w:rFonts w:ascii="Lato" w:hAnsi="Lato" w:cs="Segoe UI Light"/>
          <w:bCs/>
          <w:sz w:val="20"/>
          <w:szCs w:val="20"/>
        </w:rPr>
      </w:pPr>
      <w:r>
        <w:rPr>
          <w:rFonts w:ascii="Lato" w:hAnsi="Lato" w:cs="Segoe UI Light"/>
          <w:bCs/>
          <w:sz w:val="20"/>
          <w:szCs w:val="20"/>
        </w:rPr>
        <w:t>o</w:t>
      </w:r>
      <w:r w:rsidR="00B51EB8">
        <w:rPr>
          <w:rFonts w:ascii="Lato" w:hAnsi="Lato" w:cs="Segoe UI Light"/>
          <w:bCs/>
          <w:sz w:val="20"/>
          <w:szCs w:val="20"/>
        </w:rPr>
        <w:t>cenę m</w:t>
      </w:r>
      <w:r w:rsidR="00B51EB8" w:rsidRPr="00B51EB8">
        <w:rPr>
          <w:rFonts w:ascii="Lato" w:hAnsi="Lato" w:cs="Segoe UI Light"/>
          <w:bCs/>
          <w:sz w:val="20"/>
          <w:szCs w:val="20"/>
        </w:rPr>
        <w:t>ożliwość skorzystania z konsultacji ekspertów z zakresu podatków, prawa, finansów, systemów informatycznych i kontroli wewnętrznej, wyceny i modeli ryzyka itp.</w:t>
      </w:r>
    </w:p>
    <w:p w14:paraId="4A3785FC" w14:textId="2E1E6B7C" w:rsidR="00B51EB8" w:rsidRPr="00B51EB8" w:rsidRDefault="00B51EB8" w:rsidP="00B51EB8">
      <w:pPr>
        <w:pStyle w:val="Akapitzlist"/>
        <w:numPr>
          <w:ilvl w:val="0"/>
          <w:numId w:val="6"/>
        </w:numPr>
        <w:ind w:hanging="294"/>
        <w:jc w:val="both"/>
        <w:rPr>
          <w:rFonts w:ascii="Lato" w:hAnsi="Lato" w:cs="Segoe UI Light"/>
          <w:bCs/>
          <w:sz w:val="20"/>
          <w:szCs w:val="20"/>
        </w:rPr>
      </w:pPr>
      <w:r w:rsidRPr="00B51EB8">
        <w:rPr>
          <w:rFonts w:ascii="Lato" w:hAnsi="Lato" w:cs="Segoe UI Light"/>
          <w:bCs/>
          <w:sz w:val="20"/>
          <w:szCs w:val="20"/>
        </w:rPr>
        <w:t>Ceny</w:t>
      </w:r>
      <w:r>
        <w:rPr>
          <w:rFonts w:ascii="Lato" w:hAnsi="Lato" w:cs="Segoe UI Light"/>
          <w:bCs/>
          <w:sz w:val="20"/>
          <w:szCs w:val="20"/>
        </w:rPr>
        <w:t>.</w:t>
      </w:r>
    </w:p>
    <w:p w14:paraId="2DFB066A" w14:textId="7B4E8963" w:rsidR="00605F11" w:rsidRPr="00605F11" w:rsidRDefault="00605F11" w:rsidP="00605F11">
      <w:pPr>
        <w:jc w:val="both"/>
        <w:rPr>
          <w:rFonts w:ascii="Lato" w:hAnsi="Lato" w:cs="Segoe UI Light"/>
          <w:b/>
          <w:sz w:val="20"/>
          <w:szCs w:val="20"/>
          <w:u w:val="single"/>
        </w:rPr>
      </w:pPr>
      <w:r w:rsidRPr="00605F11">
        <w:rPr>
          <w:rFonts w:ascii="Lato" w:hAnsi="Lato" w:cs="Segoe UI Light"/>
          <w:b/>
          <w:sz w:val="20"/>
          <w:szCs w:val="20"/>
          <w:u w:val="single"/>
        </w:rPr>
        <w:t>Informacje dotyczące warunków wymaganych od podmiotu składającego ofertę</w:t>
      </w:r>
    </w:p>
    <w:p w14:paraId="13C67BC4" w14:textId="244DD61D" w:rsidR="00605F11" w:rsidRPr="00605F11" w:rsidRDefault="00605F11" w:rsidP="00605F11">
      <w:pPr>
        <w:jc w:val="both"/>
        <w:rPr>
          <w:rFonts w:ascii="Lato" w:hAnsi="Lato" w:cs="Segoe UI Light"/>
          <w:sz w:val="20"/>
          <w:szCs w:val="20"/>
        </w:rPr>
      </w:pPr>
      <w:r w:rsidRPr="00605F11">
        <w:rPr>
          <w:rFonts w:ascii="Lato" w:hAnsi="Lato" w:cs="Arial"/>
          <w:sz w:val="20"/>
          <w:szCs w:val="20"/>
        </w:rPr>
        <w:t>Informacje o warunkach, które powinien spełniać Oferent przystępujący do postępowania, zawarte</w:t>
      </w:r>
      <w:r>
        <w:rPr>
          <w:rFonts w:ascii="Lato" w:hAnsi="Lato" w:cs="Arial"/>
          <w:sz w:val="20"/>
          <w:szCs w:val="20"/>
        </w:rPr>
        <w:t xml:space="preserve"> </w:t>
      </w:r>
      <w:r w:rsidRPr="00605F11">
        <w:rPr>
          <w:rFonts w:ascii="Lato" w:hAnsi="Lato" w:cs="Arial"/>
          <w:sz w:val="20"/>
          <w:szCs w:val="20"/>
        </w:rPr>
        <w:t>są</w:t>
      </w:r>
      <w:r>
        <w:rPr>
          <w:rFonts w:ascii="Lato" w:hAnsi="Lato"/>
          <w:sz w:val="20"/>
          <w:szCs w:val="20"/>
        </w:rPr>
        <w:t xml:space="preserve"> </w:t>
      </w:r>
      <w:r w:rsidRPr="00605F11">
        <w:rPr>
          <w:rFonts w:ascii="Lato" w:hAnsi="Lato" w:cs="Arial"/>
          <w:sz w:val="20"/>
          <w:szCs w:val="20"/>
        </w:rPr>
        <w:t>w oświadczeni</w:t>
      </w:r>
      <w:r>
        <w:rPr>
          <w:rFonts w:ascii="Lato" w:hAnsi="Lato" w:cs="Arial"/>
          <w:sz w:val="20"/>
          <w:szCs w:val="20"/>
        </w:rPr>
        <w:t>ach</w:t>
      </w:r>
      <w:r w:rsidRPr="00605F11">
        <w:rPr>
          <w:rFonts w:ascii="Lato" w:hAnsi="Lato" w:cs="Arial"/>
          <w:sz w:val="20"/>
          <w:szCs w:val="20"/>
        </w:rPr>
        <w:t xml:space="preserve"> o spełnianiu warunków, stanowiącym załącznik nr </w:t>
      </w:r>
      <w:r>
        <w:rPr>
          <w:rFonts w:ascii="Lato" w:hAnsi="Lato" w:cs="Arial"/>
          <w:sz w:val="20"/>
          <w:szCs w:val="20"/>
        </w:rPr>
        <w:t>1,</w:t>
      </w:r>
      <w:r w:rsidRPr="00605F11">
        <w:rPr>
          <w:rFonts w:ascii="Lato" w:hAnsi="Lato" w:cs="Arial"/>
          <w:sz w:val="20"/>
          <w:szCs w:val="20"/>
        </w:rPr>
        <w:t>2</w:t>
      </w:r>
      <w:r>
        <w:rPr>
          <w:rFonts w:ascii="Lato" w:hAnsi="Lato" w:cs="Arial"/>
          <w:sz w:val="20"/>
          <w:szCs w:val="20"/>
        </w:rPr>
        <w:t>,3</w:t>
      </w:r>
      <w:r w:rsidRPr="00605F11">
        <w:rPr>
          <w:rFonts w:ascii="Lato" w:hAnsi="Lato" w:cs="Arial"/>
          <w:sz w:val="20"/>
          <w:szCs w:val="20"/>
        </w:rPr>
        <w:t xml:space="preserve"> do Zaproszenia</w:t>
      </w:r>
    </w:p>
    <w:sectPr w:rsidR="00605F11" w:rsidRPr="00605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C8D"/>
    <w:multiLevelType w:val="hybridMultilevel"/>
    <w:tmpl w:val="4AE21BD0"/>
    <w:lvl w:ilvl="0" w:tplc="04E660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81013B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B21121"/>
    <w:multiLevelType w:val="hybridMultilevel"/>
    <w:tmpl w:val="9F6EB80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166E53"/>
    <w:multiLevelType w:val="hybridMultilevel"/>
    <w:tmpl w:val="D51E8D10"/>
    <w:lvl w:ilvl="0" w:tplc="04E660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1013B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062F0A"/>
    <w:multiLevelType w:val="hybridMultilevel"/>
    <w:tmpl w:val="CAF00EEC"/>
    <w:lvl w:ilvl="0" w:tplc="DDFCD0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5C032C9"/>
    <w:multiLevelType w:val="hybridMultilevel"/>
    <w:tmpl w:val="92FAF0D8"/>
    <w:lvl w:ilvl="0" w:tplc="2B6EA8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E4528"/>
    <w:multiLevelType w:val="hybridMultilevel"/>
    <w:tmpl w:val="BA70E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96A42"/>
    <w:multiLevelType w:val="hybridMultilevel"/>
    <w:tmpl w:val="9C60B548"/>
    <w:lvl w:ilvl="0" w:tplc="386250EA">
      <w:start w:val="1"/>
      <w:numFmt w:val="decimal"/>
      <w:lvlText w:val="%1."/>
      <w:lvlJc w:val="left"/>
      <w:pPr>
        <w:ind w:left="77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5F976B12"/>
    <w:multiLevelType w:val="hybridMultilevel"/>
    <w:tmpl w:val="80D052C4"/>
    <w:lvl w:ilvl="0" w:tplc="F26CAB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86417"/>
    <w:multiLevelType w:val="hybridMultilevel"/>
    <w:tmpl w:val="7EB0B82E"/>
    <w:lvl w:ilvl="0" w:tplc="586A6C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D94C21"/>
    <w:multiLevelType w:val="hybridMultilevel"/>
    <w:tmpl w:val="A96284FE"/>
    <w:lvl w:ilvl="0" w:tplc="04E660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81013B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2D"/>
    <w:rsid w:val="00015FF3"/>
    <w:rsid w:val="00083174"/>
    <w:rsid w:val="00084974"/>
    <w:rsid w:val="00095E2D"/>
    <w:rsid w:val="000A1022"/>
    <w:rsid w:val="000E61CA"/>
    <w:rsid w:val="0013233D"/>
    <w:rsid w:val="00133247"/>
    <w:rsid w:val="001B485B"/>
    <w:rsid w:val="001C3125"/>
    <w:rsid w:val="001D5936"/>
    <w:rsid w:val="001E19C5"/>
    <w:rsid w:val="00261D7B"/>
    <w:rsid w:val="00272FD2"/>
    <w:rsid w:val="0028779A"/>
    <w:rsid w:val="002D64B9"/>
    <w:rsid w:val="00301C90"/>
    <w:rsid w:val="00316AB9"/>
    <w:rsid w:val="003343EA"/>
    <w:rsid w:val="0034336C"/>
    <w:rsid w:val="00420198"/>
    <w:rsid w:val="004436C1"/>
    <w:rsid w:val="004637C2"/>
    <w:rsid w:val="005008D1"/>
    <w:rsid w:val="005116A5"/>
    <w:rsid w:val="005A2F10"/>
    <w:rsid w:val="005B6E45"/>
    <w:rsid w:val="00605F11"/>
    <w:rsid w:val="00656E99"/>
    <w:rsid w:val="00684285"/>
    <w:rsid w:val="006A56B9"/>
    <w:rsid w:val="007247F6"/>
    <w:rsid w:val="00743EEC"/>
    <w:rsid w:val="00772D9D"/>
    <w:rsid w:val="007C293C"/>
    <w:rsid w:val="007E09FC"/>
    <w:rsid w:val="008C3A5F"/>
    <w:rsid w:val="009265CC"/>
    <w:rsid w:val="00941E27"/>
    <w:rsid w:val="00A40382"/>
    <w:rsid w:val="00A7274C"/>
    <w:rsid w:val="00A83924"/>
    <w:rsid w:val="00AB17FF"/>
    <w:rsid w:val="00B26420"/>
    <w:rsid w:val="00B51EB8"/>
    <w:rsid w:val="00B5520D"/>
    <w:rsid w:val="00BD606E"/>
    <w:rsid w:val="00BE135F"/>
    <w:rsid w:val="00C01170"/>
    <w:rsid w:val="00C35BC0"/>
    <w:rsid w:val="00C40B9C"/>
    <w:rsid w:val="00C40EF9"/>
    <w:rsid w:val="00CD6D2D"/>
    <w:rsid w:val="00D33341"/>
    <w:rsid w:val="00D52B30"/>
    <w:rsid w:val="00D56216"/>
    <w:rsid w:val="00DD5B99"/>
    <w:rsid w:val="00E229A2"/>
    <w:rsid w:val="00E95A41"/>
    <w:rsid w:val="00EF2F2D"/>
    <w:rsid w:val="00F1139C"/>
    <w:rsid w:val="00F17A6A"/>
    <w:rsid w:val="00F545BB"/>
    <w:rsid w:val="00F8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3D13"/>
  <w15:chartTrackingRefBased/>
  <w15:docId w15:val="{12AF6570-D779-42E2-BA07-CEF2175A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16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6A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9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29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29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9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9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9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40382"/>
    <w:pPr>
      <w:ind w:left="720"/>
      <w:contextualSpacing/>
    </w:pPr>
  </w:style>
  <w:style w:type="character" w:customStyle="1" w:styleId="highlight">
    <w:name w:val="highlight"/>
    <w:basedOn w:val="Domylnaczcionkaakapitu"/>
    <w:rsid w:val="00B51EB8"/>
  </w:style>
  <w:style w:type="character" w:styleId="UyteHipercze">
    <w:name w:val="FollowedHyperlink"/>
    <w:basedOn w:val="Domylnaczcionkaakapitu"/>
    <w:uiPriority w:val="99"/>
    <w:semiHidden/>
    <w:unhideWhenUsed/>
    <w:rsid w:val="00B51E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iorbank.pl/dodatkowe-informacje/relacje-inwestorskie/wyniki-finansow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liorbank.pl/dodatkowe-informacje/relacje-inwestorskie/wyniki-finansowe.html" TargetMode="External"/><Relationship Id="rId12" Type="http://schemas.openxmlformats.org/officeDocument/2006/relationships/hyperlink" Target="mailto:urszula.nowik@alior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alubezpieczenia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liorbank.pl/wlasna-dzialalnosc/alior-leas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iorbank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AA964-D3F5-4A3E-A2BC-11FF512F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1088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Nowik-Krawczyk</dc:creator>
  <cp:keywords/>
  <dc:description/>
  <cp:lastModifiedBy>Urszula Nowik-Krawczyk</cp:lastModifiedBy>
  <cp:revision>3</cp:revision>
  <cp:lastPrinted>2022-07-06T08:56:00Z</cp:lastPrinted>
  <dcterms:created xsi:type="dcterms:W3CDTF">2022-07-11T11:48:00Z</dcterms:created>
  <dcterms:modified xsi:type="dcterms:W3CDTF">2022-07-11T11:51:00Z</dcterms:modified>
</cp:coreProperties>
</file>