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05BD" w14:textId="7C59A530" w:rsidR="005F0192" w:rsidRPr="003D3E9A" w:rsidRDefault="001521C7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SKŁADANIA </w:t>
      </w:r>
      <w:r w:rsidR="000E4297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 SPRZEDAŻY</w:t>
      </w:r>
    </w:p>
    <w:p w14:paraId="0E7EF496" w14:textId="1DF9BD09" w:rsidR="001521C7" w:rsidRPr="003D3E9A" w:rsidRDefault="005F0192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akcji </w:t>
      </w:r>
      <w:r w:rsidR="00590D7B" w:rsidRPr="00590D7B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MERCATOR MEDICAL </w:t>
      </w:r>
      <w:r w:rsidR="000C5E51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AKCYJNA</w:t>
      </w:r>
    </w:p>
    <w:p w14:paraId="3CBAE6F9" w14:textId="665BE419" w:rsidR="001521C7" w:rsidRDefault="00262063" w:rsidP="00262063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2063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ramach zaproszenia do składania ofert sprzedaży akcji spółki </w:t>
      </w:r>
      <w:r w:rsidR="00590D7B" w:rsidRPr="00590D7B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MERCATOR MEDICAL </w:t>
      </w:r>
      <w:r w:rsidRPr="00262063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S.A.</w:t>
      </w:r>
    </w:p>
    <w:p w14:paraId="5BDED3AB" w14:textId="77777777" w:rsidR="00262063" w:rsidRPr="00262063" w:rsidRDefault="00262063" w:rsidP="00262063">
      <w:pPr>
        <w:pStyle w:val="Zwykytekst"/>
        <w:jc w:val="center"/>
        <w:rPr>
          <w:rFonts w:ascii="Arial Narrow" w:hAnsi="Arial Narrow" w:cs="Tahoma"/>
          <w:sz w:val="22"/>
          <w:szCs w:val="22"/>
        </w:rPr>
      </w:pPr>
    </w:p>
    <w:p w14:paraId="308D8AA4" w14:textId="0C78961D" w:rsidR="005F0192" w:rsidRDefault="00262063" w:rsidP="00262063">
      <w:pPr>
        <w:pStyle w:val="Zwykytekst"/>
        <w:tabs>
          <w:tab w:val="num" w:pos="0"/>
        </w:tabs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 xml:space="preserve">Niniejsze zasady składania </w:t>
      </w:r>
      <w:r w:rsidR="000E4297">
        <w:rPr>
          <w:rFonts w:ascii="Arial Narrow" w:hAnsi="Arial Narrow" w:cs="Tahoma"/>
          <w:sz w:val="22"/>
          <w:szCs w:val="22"/>
        </w:rPr>
        <w:t>ofert sprzedaży</w:t>
      </w:r>
      <w:r w:rsidRPr="00262063">
        <w:rPr>
          <w:rFonts w:ascii="Arial Narrow" w:hAnsi="Arial Narrow" w:cs="Tahoma"/>
          <w:sz w:val="22"/>
          <w:szCs w:val="22"/>
        </w:rPr>
        <w:t xml:space="preserve"> akcji </w:t>
      </w:r>
      <w:r w:rsidR="00B21E43" w:rsidRPr="00B21E43">
        <w:rPr>
          <w:rFonts w:ascii="Arial Narrow" w:hAnsi="Arial Narrow" w:cs="Tahoma"/>
          <w:sz w:val="22"/>
          <w:szCs w:val="22"/>
        </w:rPr>
        <w:t xml:space="preserve">MERCATOR MEDICAL </w:t>
      </w:r>
      <w:r w:rsidRPr="00262063">
        <w:rPr>
          <w:rFonts w:ascii="Arial Narrow" w:hAnsi="Arial Narrow" w:cs="Tahoma"/>
          <w:sz w:val="22"/>
          <w:szCs w:val="22"/>
        </w:rPr>
        <w:t xml:space="preserve">S.A. zostały sporządzone, w związku z ogłoszeniem w dniu </w:t>
      </w:r>
      <w:r w:rsidR="00467648">
        <w:rPr>
          <w:rFonts w:ascii="Arial Narrow" w:hAnsi="Arial Narrow" w:cs="Tahoma"/>
          <w:sz w:val="22"/>
          <w:szCs w:val="22"/>
        </w:rPr>
        <w:t>14 paź</w:t>
      </w:r>
      <w:r w:rsidR="006E4CF1">
        <w:rPr>
          <w:rFonts w:ascii="Arial Narrow" w:hAnsi="Arial Narrow" w:cs="Tahoma"/>
          <w:sz w:val="22"/>
          <w:szCs w:val="22"/>
        </w:rPr>
        <w:t>dziernika</w:t>
      </w:r>
      <w:r w:rsidR="006B06C4">
        <w:rPr>
          <w:rFonts w:ascii="Arial Narrow" w:hAnsi="Arial Narrow" w:cs="Tahoma"/>
          <w:sz w:val="22"/>
          <w:szCs w:val="22"/>
        </w:rPr>
        <w:t xml:space="preserve"> 202</w:t>
      </w:r>
      <w:r w:rsidR="00927366">
        <w:rPr>
          <w:rFonts w:ascii="Arial Narrow" w:hAnsi="Arial Narrow" w:cs="Tahoma"/>
          <w:sz w:val="22"/>
          <w:szCs w:val="22"/>
        </w:rPr>
        <w:t>4</w:t>
      </w:r>
      <w:r w:rsidRPr="00262063">
        <w:rPr>
          <w:rFonts w:ascii="Arial Narrow" w:hAnsi="Arial Narrow" w:cs="Tahoma"/>
          <w:sz w:val="22"/>
          <w:szCs w:val="22"/>
        </w:rPr>
        <w:t xml:space="preserve"> roku przez </w:t>
      </w:r>
      <w:r w:rsidR="00927366" w:rsidRPr="00B21E43">
        <w:rPr>
          <w:rFonts w:ascii="Arial Narrow" w:hAnsi="Arial Narrow" w:cs="Tahoma"/>
          <w:sz w:val="22"/>
          <w:szCs w:val="22"/>
        </w:rPr>
        <w:t xml:space="preserve">MERCATOR MEDICAL </w:t>
      </w:r>
      <w:r w:rsidR="00927366" w:rsidRPr="00262063">
        <w:rPr>
          <w:rFonts w:ascii="Arial Narrow" w:hAnsi="Arial Narrow" w:cs="Tahoma"/>
          <w:sz w:val="22"/>
          <w:szCs w:val="22"/>
        </w:rPr>
        <w:t xml:space="preserve">S.A. </w:t>
      </w:r>
      <w:r w:rsidRPr="00262063">
        <w:rPr>
          <w:rFonts w:ascii="Arial Narrow" w:hAnsi="Arial Narrow" w:cs="Tahoma"/>
          <w:sz w:val="22"/>
          <w:szCs w:val="22"/>
        </w:rPr>
        <w:t xml:space="preserve">zaproszenia do składania ofert sprzedaży akcji </w:t>
      </w:r>
      <w:r w:rsidR="004E1DE8" w:rsidRPr="004E1DE8">
        <w:rPr>
          <w:rFonts w:ascii="Arial Narrow" w:hAnsi="Arial Narrow" w:cs="Tahoma"/>
          <w:sz w:val="22"/>
          <w:szCs w:val="22"/>
        </w:rPr>
        <w:t xml:space="preserve">MERCATOR MEDICAL </w:t>
      </w:r>
      <w:r w:rsidRPr="00262063">
        <w:rPr>
          <w:rFonts w:ascii="Arial Narrow" w:hAnsi="Arial Narrow" w:cs="Tahoma"/>
          <w:sz w:val="22"/>
          <w:szCs w:val="22"/>
        </w:rPr>
        <w:t>S.A. („</w:t>
      </w:r>
      <w:r w:rsidRPr="00262063">
        <w:rPr>
          <w:rFonts w:ascii="Arial Narrow" w:hAnsi="Arial Narrow" w:cs="Tahoma"/>
          <w:b/>
          <w:bCs/>
          <w:sz w:val="22"/>
          <w:szCs w:val="22"/>
        </w:rPr>
        <w:t>Zaproszenie</w:t>
      </w:r>
      <w:r w:rsidRPr="00262063">
        <w:rPr>
          <w:rFonts w:ascii="Arial Narrow" w:hAnsi="Arial Narrow" w:cs="Tahoma"/>
          <w:sz w:val="22"/>
          <w:szCs w:val="22"/>
        </w:rPr>
        <w:t xml:space="preserve">”), </w:t>
      </w:r>
      <w:proofErr w:type="spellStart"/>
      <w:r w:rsidRPr="00262063">
        <w:rPr>
          <w:rFonts w:ascii="Arial Narrow" w:hAnsi="Arial Narrow" w:cs="Tahoma"/>
          <w:sz w:val="22"/>
          <w:szCs w:val="22"/>
        </w:rPr>
        <w:t>Trigon</w:t>
      </w:r>
      <w:proofErr w:type="spellEnd"/>
      <w:r w:rsidRPr="00262063">
        <w:rPr>
          <w:rFonts w:ascii="Arial Narrow" w:hAnsi="Arial Narrow" w:cs="Tahoma"/>
          <w:sz w:val="22"/>
          <w:szCs w:val="22"/>
        </w:rPr>
        <w:t xml:space="preserve"> Dom Maklerski S.A., pełni rolę podmiotu pośredniczącego w transakcji</w:t>
      </w:r>
      <w:r w:rsidR="008F1556">
        <w:rPr>
          <w:rFonts w:ascii="Arial Narrow" w:hAnsi="Arial Narrow" w:cs="Tahoma"/>
          <w:sz w:val="22"/>
          <w:szCs w:val="22"/>
        </w:rPr>
        <w:t>.</w:t>
      </w:r>
    </w:p>
    <w:p w14:paraId="09A71B81" w14:textId="77777777" w:rsidR="00262063" w:rsidRPr="003D3E9A" w:rsidRDefault="00262063" w:rsidP="00262063">
      <w:pPr>
        <w:pStyle w:val="Zwykytekst"/>
        <w:tabs>
          <w:tab w:val="num" w:pos="0"/>
        </w:tabs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0C775E" w14:textId="77777777" w:rsidR="005F0192" w:rsidRPr="003D3E9A" w:rsidRDefault="005F0192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INFORMACJE OGÓLNE</w:t>
      </w:r>
    </w:p>
    <w:p w14:paraId="164C170F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b/>
          <w:sz w:val="22"/>
          <w:szCs w:val="22"/>
        </w:rPr>
      </w:pPr>
    </w:p>
    <w:p w14:paraId="001D5FFD" w14:textId="726FCC9E" w:rsidR="005F0192" w:rsidRPr="003D3E9A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[</w:t>
      </w:r>
      <w:r w:rsidR="00262063">
        <w:rPr>
          <w:rFonts w:ascii="Arial Narrow" w:hAnsi="Arial Narrow" w:cs="Tahoma"/>
          <w:b/>
          <w:sz w:val="22"/>
          <w:szCs w:val="22"/>
        </w:rPr>
        <w:t>ZAPRASZAJĄCY</w:t>
      </w:r>
      <w:r w:rsidRPr="003D3E9A">
        <w:rPr>
          <w:rFonts w:ascii="Arial Narrow" w:hAnsi="Arial Narrow" w:cs="Tahoma"/>
          <w:b/>
          <w:sz w:val="22"/>
          <w:szCs w:val="22"/>
        </w:rPr>
        <w:t>]</w:t>
      </w:r>
    </w:p>
    <w:p w14:paraId="01F80F9B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850F171" w14:textId="1FB5F34B" w:rsidR="00262063" w:rsidRPr="00262063" w:rsidRDefault="00262063" w:rsidP="006F606B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>Zaproszenie ogłaszane jest przez</w:t>
      </w:r>
      <w:r w:rsidRPr="00E0567D">
        <w:rPr>
          <w:rFonts w:ascii="Arial Narrow" w:hAnsi="Arial Narrow" w:cs="Tahoma"/>
          <w:sz w:val="22"/>
          <w:szCs w:val="22"/>
        </w:rPr>
        <w:t xml:space="preserve">: </w:t>
      </w:r>
      <w:r w:rsidR="006F606B" w:rsidRPr="006F606B">
        <w:rPr>
          <w:rFonts w:ascii="Arial Narrow" w:hAnsi="Arial Narrow" w:cs="Tahoma"/>
          <w:sz w:val="22"/>
          <w:szCs w:val="22"/>
        </w:rPr>
        <w:t xml:space="preserve">Mercator </w:t>
      </w:r>
      <w:proofErr w:type="spellStart"/>
      <w:r w:rsidR="006F606B" w:rsidRPr="006F606B">
        <w:rPr>
          <w:rFonts w:ascii="Arial Narrow" w:hAnsi="Arial Narrow" w:cs="Tahoma"/>
          <w:sz w:val="22"/>
          <w:szCs w:val="22"/>
        </w:rPr>
        <w:t>Medical</w:t>
      </w:r>
      <w:proofErr w:type="spellEnd"/>
      <w:r w:rsidR="006F606B" w:rsidRPr="006F606B">
        <w:rPr>
          <w:rFonts w:ascii="Arial Narrow" w:hAnsi="Arial Narrow" w:cs="Tahoma"/>
          <w:sz w:val="22"/>
          <w:szCs w:val="22"/>
        </w:rPr>
        <w:t xml:space="preserve"> Spółka Akcyjna z siedzibą w Krakowie, 31-327 Kraków, ul.</w:t>
      </w:r>
      <w:r w:rsidR="006F606B">
        <w:rPr>
          <w:rFonts w:ascii="Arial Narrow" w:hAnsi="Arial Narrow" w:cs="Tahoma"/>
          <w:sz w:val="22"/>
          <w:szCs w:val="22"/>
        </w:rPr>
        <w:t xml:space="preserve"> </w:t>
      </w:r>
      <w:r w:rsidR="006F606B" w:rsidRPr="006F606B">
        <w:rPr>
          <w:rFonts w:ascii="Arial Narrow" w:hAnsi="Arial Narrow" w:cs="Tahoma"/>
          <w:sz w:val="22"/>
          <w:szCs w:val="22"/>
        </w:rPr>
        <w:t>Modrzejewskiej 30, wpisanej do rejestru przedsiębiorców Krajowego Rejestru Sądowego pod numerem</w:t>
      </w:r>
      <w:r w:rsidR="006F606B">
        <w:rPr>
          <w:rFonts w:ascii="Arial Narrow" w:hAnsi="Arial Narrow" w:cs="Tahoma"/>
          <w:sz w:val="22"/>
          <w:szCs w:val="22"/>
        </w:rPr>
        <w:t xml:space="preserve"> </w:t>
      </w:r>
      <w:r w:rsidR="006F606B" w:rsidRPr="006F606B">
        <w:rPr>
          <w:rFonts w:ascii="Arial Narrow" w:hAnsi="Arial Narrow" w:cs="Tahoma"/>
          <w:sz w:val="22"/>
          <w:szCs w:val="22"/>
        </w:rPr>
        <w:t xml:space="preserve">0000036244 </w:t>
      </w:r>
      <w:r w:rsidRPr="00262063">
        <w:rPr>
          <w:rFonts w:ascii="Arial Narrow" w:hAnsi="Arial Narrow" w:cs="Tahoma"/>
          <w:sz w:val="22"/>
          <w:szCs w:val="22"/>
        </w:rPr>
        <w:t>(„</w:t>
      </w:r>
      <w:r w:rsidRPr="00262063">
        <w:rPr>
          <w:rFonts w:ascii="Arial Narrow" w:hAnsi="Arial Narrow" w:cs="Tahoma"/>
          <w:b/>
          <w:bCs/>
          <w:sz w:val="22"/>
          <w:szCs w:val="22"/>
        </w:rPr>
        <w:t>Podmiot Nabywający Akcje</w:t>
      </w:r>
      <w:r w:rsidRPr="00262063">
        <w:rPr>
          <w:rFonts w:ascii="Arial Narrow" w:hAnsi="Arial Narrow" w:cs="Tahoma"/>
          <w:sz w:val="22"/>
          <w:szCs w:val="22"/>
        </w:rPr>
        <w:t>”).</w:t>
      </w:r>
    </w:p>
    <w:p w14:paraId="7058470D" w14:textId="77777777" w:rsidR="00274AF7" w:rsidRPr="00262063" w:rsidRDefault="00274AF7" w:rsidP="00046CBB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05AABE01" w14:textId="4DF671F8" w:rsidR="005F0192" w:rsidRPr="00262063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</w:rPr>
      </w:pPr>
      <w:r w:rsidRPr="00262063">
        <w:rPr>
          <w:rFonts w:ascii="Arial Narrow" w:hAnsi="Arial Narrow" w:cs="Tahoma"/>
          <w:b/>
          <w:sz w:val="22"/>
          <w:szCs w:val="22"/>
        </w:rPr>
        <w:t xml:space="preserve">[PRZEDMIOT </w:t>
      </w:r>
      <w:r w:rsidR="00262063" w:rsidRPr="00262063">
        <w:rPr>
          <w:rFonts w:ascii="Arial Narrow" w:hAnsi="Arial Narrow" w:cs="Tahoma"/>
          <w:b/>
          <w:sz w:val="22"/>
          <w:szCs w:val="22"/>
        </w:rPr>
        <w:t>ZAPROSZENIA</w:t>
      </w:r>
      <w:r w:rsidRPr="00262063">
        <w:rPr>
          <w:rFonts w:ascii="Arial Narrow" w:hAnsi="Arial Narrow" w:cs="Tahoma"/>
          <w:b/>
          <w:sz w:val="22"/>
          <w:szCs w:val="22"/>
        </w:rPr>
        <w:t>]</w:t>
      </w:r>
    </w:p>
    <w:p w14:paraId="544CE42E" w14:textId="77777777" w:rsidR="00F21901" w:rsidRDefault="00F21901" w:rsidP="00AB2598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09B19E1" w14:textId="32147A14" w:rsidR="00E22BF5" w:rsidRPr="00E22BF5" w:rsidRDefault="00E22BF5" w:rsidP="00E22BF5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E22BF5">
        <w:rPr>
          <w:rFonts w:ascii="Arial Narrow" w:hAnsi="Arial Narrow"/>
          <w:sz w:val="22"/>
          <w:szCs w:val="22"/>
        </w:rPr>
        <w:t>Przedmiotem niniejszego Zaproszenia jest nie więcej niż 149.000 (słownie: sto czterdzieści dziewięć tysięcy)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 xml:space="preserve">zdematerializowanych akcji spółki Mercator </w:t>
      </w:r>
      <w:proofErr w:type="spellStart"/>
      <w:r w:rsidRPr="00E22BF5">
        <w:rPr>
          <w:rFonts w:ascii="Arial Narrow" w:hAnsi="Arial Narrow"/>
          <w:sz w:val="22"/>
          <w:szCs w:val="22"/>
        </w:rPr>
        <w:t>Medical</w:t>
      </w:r>
      <w:proofErr w:type="spellEnd"/>
      <w:r w:rsidRPr="00E22BF5">
        <w:rPr>
          <w:rFonts w:ascii="Arial Narrow" w:hAnsi="Arial Narrow"/>
          <w:sz w:val="22"/>
          <w:szCs w:val="22"/>
        </w:rPr>
        <w:t xml:space="preserve"> Spółka Akcyjna z siedzibą w Krakowie, 31-327 Kraków, ul.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Modrzejewskiej 30, wpisanej do rejestru przedsiębiorców Krajowego Rejestru Sądowego pod numerem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0000036244 („</w:t>
      </w:r>
      <w:r w:rsidRPr="00E22BF5">
        <w:rPr>
          <w:rFonts w:ascii="Arial Narrow" w:hAnsi="Arial Narrow"/>
          <w:b/>
          <w:bCs/>
          <w:sz w:val="22"/>
          <w:szCs w:val="22"/>
        </w:rPr>
        <w:t>Spółka</w:t>
      </w:r>
      <w:r w:rsidRPr="00E22BF5">
        <w:rPr>
          <w:rFonts w:ascii="Arial Narrow" w:hAnsi="Arial Narrow"/>
          <w:sz w:val="22"/>
          <w:szCs w:val="22"/>
        </w:rPr>
        <w:t>”), o wartości nominalnej 1,00 zł każda, stanowiących łącznie około 1,53% kapitału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zakładowego Spółki. Przedmiotem Zaproszenia są akcje zwykłe na okaziciela, zarejestrowane przez Krajowy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Depozyt Papierów Wartościowych S.A. („</w:t>
      </w:r>
      <w:r w:rsidRPr="00E22BF5">
        <w:rPr>
          <w:rFonts w:ascii="Arial Narrow" w:hAnsi="Arial Narrow"/>
          <w:b/>
          <w:bCs/>
          <w:sz w:val="22"/>
          <w:szCs w:val="22"/>
        </w:rPr>
        <w:t>KDPW</w:t>
      </w:r>
      <w:r w:rsidRPr="00E22BF5">
        <w:rPr>
          <w:rFonts w:ascii="Arial Narrow" w:hAnsi="Arial Narrow"/>
          <w:sz w:val="22"/>
          <w:szCs w:val="22"/>
        </w:rPr>
        <w:t>”) pod kodem ISIN PLMRCTR00015, będące przedmiotem obrotu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na rynku podstawowym Giełdy Papierów Wartościowych w Warszawie („</w:t>
      </w:r>
      <w:r w:rsidRPr="00E22BF5">
        <w:rPr>
          <w:rFonts w:ascii="Arial Narrow" w:hAnsi="Arial Narrow"/>
          <w:b/>
          <w:bCs/>
          <w:sz w:val="22"/>
          <w:szCs w:val="22"/>
        </w:rPr>
        <w:t>GPW</w:t>
      </w:r>
      <w:r w:rsidRPr="00E22BF5">
        <w:rPr>
          <w:rFonts w:ascii="Arial Narrow" w:hAnsi="Arial Narrow"/>
          <w:sz w:val="22"/>
          <w:szCs w:val="22"/>
        </w:rPr>
        <w:t>”) („</w:t>
      </w:r>
      <w:r w:rsidRPr="00E22BF5">
        <w:rPr>
          <w:rFonts w:ascii="Arial Narrow" w:hAnsi="Arial Narrow"/>
          <w:b/>
          <w:bCs/>
          <w:sz w:val="22"/>
          <w:szCs w:val="22"/>
        </w:rPr>
        <w:t>Akcje Zwykłe</w:t>
      </w:r>
      <w:r w:rsidRPr="00E22BF5">
        <w:rPr>
          <w:rFonts w:ascii="Arial Narrow" w:hAnsi="Arial Narrow"/>
          <w:sz w:val="22"/>
          <w:szCs w:val="22"/>
        </w:rPr>
        <w:t>”) oraz akcje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imienne uprzywilejowane, zarejestrowane przez Krajowy Depozyt Papierów Wartościowych S.A. („</w:t>
      </w:r>
      <w:r w:rsidRPr="00E22BF5">
        <w:rPr>
          <w:rFonts w:ascii="Arial Narrow" w:hAnsi="Arial Narrow"/>
          <w:b/>
          <w:bCs/>
          <w:sz w:val="22"/>
          <w:szCs w:val="22"/>
        </w:rPr>
        <w:t>KDPW</w:t>
      </w:r>
      <w:r w:rsidRPr="00E22BF5">
        <w:rPr>
          <w:rFonts w:ascii="Arial Narrow" w:hAnsi="Arial Narrow"/>
          <w:sz w:val="22"/>
          <w:szCs w:val="22"/>
        </w:rPr>
        <w:t>”) pod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kodem ISIN PLMRCTR00056 („</w:t>
      </w:r>
      <w:r w:rsidRPr="00E22BF5">
        <w:rPr>
          <w:rFonts w:ascii="Arial Narrow" w:hAnsi="Arial Narrow"/>
          <w:b/>
          <w:bCs/>
          <w:sz w:val="22"/>
          <w:szCs w:val="22"/>
        </w:rPr>
        <w:t>Akcje Imienne</w:t>
      </w:r>
      <w:r w:rsidRPr="00E22BF5">
        <w:rPr>
          <w:rFonts w:ascii="Arial Narrow" w:hAnsi="Arial Narrow"/>
          <w:sz w:val="22"/>
          <w:szCs w:val="22"/>
        </w:rPr>
        <w:t>”).</w:t>
      </w:r>
    </w:p>
    <w:p w14:paraId="03953B9A" w14:textId="12CF3978" w:rsidR="00A032C4" w:rsidRPr="00A032C4" w:rsidRDefault="00E22BF5" w:rsidP="00E22BF5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E22BF5">
        <w:rPr>
          <w:rFonts w:ascii="Arial Narrow" w:hAnsi="Arial Narrow"/>
          <w:sz w:val="22"/>
          <w:szCs w:val="22"/>
        </w:rPr>
        <w:t>(dalej Akcje Zwykłe oraz Akcje Imienne zwane łącznie jako „</w:t>
      </w:r>
      <w:r w:rsidRPr="00E22BF5">
        <w:rPr>
          <w:rFonts w:ascii="Arial Narrow" w:hAnsi="Arial Narrow"/>
          <w:b/>
          <w:bCs/>
          <w:sz w:val="22"/>
          <w:szCs w:val="22"/>
        </w:rPr>
        <w:t>Akcje Nabywane</w:t>
      </w:r>
      <w:r w:rsidRPr="00E22BF5">
        <w:rPr>
          <w:rFonts w:ascii="Arial Narrow" w:hAnsi="Arial Narrow"/>
          <w:sz w:val="22"/>
          <w:szCs w:val="22"/>
        </w:rPr>
        <w:t>”, a każda z nich z osobna jako</w:t>
      </w:r>
      <w:r>
        <w:rPr>
          <w:rFonts w:ascii="Arial Narrow" w:hAnsi="Arial Narrow"/>
          <w:sz w:val="22"/>
          <w:szCs w:val="22"/>
        </w:rPr>
        <w:t xml:space="preserve"> </w:t>
      </w:r>
      <w:r w:rsidRPr="00E22BF5">
        <w:rPr>
          <w:rFonts w:ascii="Arial Narrow" w:hAnsi="Arial Narrow"/>
          <w:sz w:val="22"/>
          <w:szCs w:val="22"/>
        </w:rPr>
        <w:t>„</w:t>
      </w:r>
      <w:r w:rsidRPr="00E22BF5">
        <w:rPr>
          <w:rFonts w:ascii="Arial Narrow" w:hAnsi="Arial Narrow"/>
          <w:b/>
          <w:bCs/>
          <w:sz w:val="22"/>
          <w:szCs w:val="22"/>
        </w:rPr>
        <w:t>Akcja Nabywana</w:t>
      </w:r>
      <w:r w:rsidRPr="00E22BF5">
        <w:rPr>
          <w:rFonts w:ascii="Arial Narrow" w:hAnsi="Arial Narrow"/>
          <w:sz w:val="22"/>
          <w:szCs w:val="22"/>
        </w:rPr>
        <w:t>”).</w:t>
      </w:r>
    </w:p>
    <w:p w14:paraId="10FF267A" w14:textId="77777777" w:rsidR="00F21901" w:rsidRPr="00262063" w:rsidRDefault="00F21901" w:rsidP="00AB2598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3576EC71" w14:textId="77777777" w:rsidR="005F0192" w:rsidRPr="00262063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b/>
          <w:sz w:val="22"/>
          <w:szCs w:val="22"/>
        </w:rPr>
        <w:t>[CENA]</w:t>
      </w:r>
    </w:p>
    <w:p w14:paraId="2E598C3C" w14:textId="77777777" w:rsidR="005F0192" w:rsidRPr="00262063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471E4693" w14:textId="34398128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 xml:space="preserve">Cena, po której nabywane będą Akcje Nabywane wynosi </w:t>
      </w:r>
      <w:r w:rsidR="00F329A0">
        <w:rPr>
          <w:rFonts w:ascii="Arial Narrow" w:hAnsi="Arial Narrow" w:cs="Tahoma"/>
          <w:b/>
          <w:sz w:val="22"/>
          <w:szCs w:val="22"/>
        </w:rPr>
        <w:t>100</w:t>
      </w:r>
      <w:r w:rsidR="00055D87" w:rsidRPr="00055D87">
        <w:rPr>
          <w:rFonts w:ascii="Arial Narrow" w:hAnsi="Arial Narrow" w:cs="Tahoma"/>
          <w:b/>
          <w:sz w:val="22"/>
          <w:szCs w:val="22"/>
        </w:rPr>
        <w:t xml:space="preserve">,00 zł </w:t>
      </w:r>
      <w:r w:rsidR="00055D87" w:rsidRPr="00055D87">
        <w:rPr>
          <w:rFonts w:ascii="Arial Narrow" w:hAnsi="Arial Narrow" w:cs="Tahoma"/>
          <w:bCs/>
          <w:sz w:val="22"/>
          <w:szCs w:val="22"/>
        </w:rPr>
        <w:t>(</w:t>
      </w:r>
      <w:r w:rsidR="00F329A0">
        <w:rPr>
          <w:rFonts w:ascii="Arial Narrow" w:hAnsi="Arial Narrow" w:cs="Tahoma"/>
          <w:bCs/>
          <w:sz w:val="22"/>
          <w:szCs w:val="22"/>
        </w:rPr>
        <w:t>sto</w:t>
      </w:r>
      <w:r w:rsidR="00055D87" w:rsidRPr="00055D87">
        <w:rPr>
          <w:rFonts w:ascii="Arial Narrow" w:hAnsi="Arial Narrow" w:cs="Tahoma"/>
          <w:bCs/>
          <w:sz w:val="22"/>
          <w:szCs w:val="22"/>
        </w:rPr>
        <w:t xml:space="preserve"> złot</w:t>
      </w:r>
      <w:r w:rsidR="00F329A0">
        <w:rPr>
          <w:rFonts w:ascii="Arial Narrow" w:hAnsi="Arial Narrow" w:cs="Tahoma"/>
          <w:bCs/>
          <w:sz w:val="22"/>
          <w:szCs w:val="22"/>
        </w:rPr>
        <w:t>ych</w:t>
      </w:r>
      <w:r w:rsidR="00055D87" w:rsidRPr="00055D87">
        <w:rPr>
          <w:rFonts w:ascii="Arial Narrow" w:hAnsi="Arial Narrow" w:cs="Tahoma"/>
          <w:bCs/>
          <w:sz w:val="22"/>
          <w:szCs w:val="22"/>
        </w:rPr>
        <w:t xml:space="preserve"> 00/100) </w:t>
      </w:r>
      <w:r w:rsidRPr="00262063">
        <w:rPr>
          <w:rFonts w:ascii="Arial Narrow" w:hAnsi="Arial Narrow" w:cs="Tahoma"/>
          <w:sz w:val="22"/>
          <w:szCs w:val="22"/>
        </w:rPr>
        <w:t>za 1 (jedną) Akcję [„</w:t>
      </w:r>
      <w:r w:rsidRPr="00262063">
        <w:rPr>
          <w:rFonts w:ascii="Arial Narrow" w:hAnsi="Arial Narrow" w:cs="Tahoma"/>
          <w:b/>
          <w:sz w:val="22"/>
          <w:szCs w:val="22"/>
        </w:rPr>
        <w:t>Cena</w:t>
      </w:r>
      <w:r w:rsidRPr="00262063">
        <w:rPr>
          <w:rFonts w:ascii="Arial Narrow" w:hAnsi="Arial Narrow" w:cs="Tahoma"/>
          <w:sz w:val="22"/>
          <w:szCs w:val="22"/>
        </w:rPr>
        <w:t xml:space="preserve"> </w:t>
      </w:r>
      <w:r w:rsidRPr="00262063">
        <w:rPr>
          <w:rFonts w:ascii="Arial Narrow" w:hAnsi="Arial Narrow" w:cs="Tahoma"/>
          <w:b/>
          <w:sz w:val="22"/>
          <w:szCs w:val="22"/>
        </w:rPr>
        <w:t>Zakupu</w:t>
      </w:r>
      <w:r w:rsidRPr="00262063">
        <w:rPr>
          <w:rFonts w:ascii="Arial Narrow" w:hAnsi="Arial Narrow" w:cs="Tahoma"/>
          <w:sz w:val="22"/>
          <w:szCs w:val="22"/>
        </w:rPr>
        <w:t>”].</w:t>
      </w:r>
      <w:r w:rsidRPr="00262063">
        <w:rPr>
          <w:rFonts w:ascii="Arial Narrow" w:hAnsi="Arial Narrow"/>
          <w:sz w:val="22"/>
          <w:szCs w:val="22"/>
        </w:rPr>
        <w:t xml:space="preserve"> </w:t>
      </w:r>
    </w:p>
    <w:p w14:paraId="224AC12D" w14:textId="77777777" w:rsidR="0086004D" w:rsidRPr="00262063" w:rsidRDefault="0086004D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8E1A7ED" w14:textId="77777777" w:rsidR="005F0192" w:rsidRPr="00262063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b/>
          <w:sz w:val="22"/>
          <w:szCs w:val="22"/>
        </w:rPr>
        <w:t>[TERMINY]</w:t>
      </w:r>
    </w:p>
    <w:p w14:paraId="73F3FAFF" w14:textId="77777777" w:rsidR="005F0192" w:rsidRPr="00262063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35CD9745" w14:textId="71E00172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 xml:space="preserve">Terminem ogłoszenia Zaproszenia </w:t>
      </w:r>
      <w:r w:rsidRPr="00262063">
        <w:rPr>
          <w:rFonts w:ascii="Arial Narrow" w:hAnsi="Arial Narrow" w:cs="Tahoma"/>
          <w:b/>
          <w:bCs/>
          <w:sz w:val="22"/>
          <w:szCs w:val="22"/>
        </w:rPr>
        <w:t xml:space="preserve">jest </w:t>
      </w:r>
      <w:r w:rsidR="00F329A0">
        <w:rPr>
          <w:rFonts w:ascii="Arial Narrow" w:hAnsi="Arial Narrow" w:cs="Tahoma"/>
          <w:b/>
          <w:bCs/>
          <w:sz w:val="22"/>
          <w:szCs w:val="22"/>
        </w:rPr>
        <w:t>14 października 2024</w:t>
      </w:r>
      <w:r w:rsidR="00894B7D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262063">
        <w:rPr>
          <w:rFonts w:ascii="Arial Narrow" w:hAnsi="Arial Narrow" w:cs="Tahoma"/>
          <w:b/>
          <w:bCs/>
          <w:sz w:val="22"/>
          <w:szCs w:val="22"/>
        </w:rPr>
        <w:t>r.</w:t>
      </w:r>
    </w:p>
    <w:p w14:paraId="2B30FAF9" w14:textId="77777777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1118F22F" w14:textId="05508C8C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 xml:space="preserve">Przyjmowanie </w:t>
      </w:r>
      <w:r w:rsidR="000E4297">
        <w:rPr>
          <w:rFonts w:ascii="Arial Narrow" w:hAnsi="Arial Narrow" w:cs="Tahoma"/>
          <w:sz w:val="22"/>
          <w:szCs w:val="22"/>
        </w:rPr>
        <w:t>Ofert Sprzedaży</w:t>
      </w:r>
      <w:r w:rsidRPr="00262063">
        <w:rPr>
          <w:rFonts w:ascii="Arial Narrow" w:hAnsi="Arial Narrow" w:cs="Tahoma"/>
          <w:sz w:val="22"/>
          <w:szCs w:val="22"/>
        </w:rPr>
        <w:t xml:space="preserve"> na sprzedaż Akcji rozpocznie się w </w:t>
      </w:r>
      <w:r w:rsidR="00F329A0">
        <w:rPr>
          <w:rFonts w:ascii="Arial Narrow" w:hAnsi="Arial Narrow" w:cs="Tahoma"/>
          <w:b/>
          <w:bCs/>
          <w:sz w:val="22"/>
          <w:szCs w:val="22"/>
        </w:rPr>
        <w:t xml:space="preserve">15 października 2024 </w:t>
      </w:r>
      <w:r w:rsidRPr="00262063">
        <w:rPr>
          <w:rFonts w:ascii="Arial Narrow" w:hAnsi="Arial Narrow" w:cs="Tahoma"/>
          <w:b/>
          <w:bCs/>
          <w:sz w:val="22"/>
          <w:szCs w:val="22"/>
        </w:rPr>
        <w:t>r.</w:t>
      </w:r>
      <w:r w:rsidRPr="00262063">
        <w:rPr>
          <w:rFonts w:ascii="Arial Narrow" w:hAnsi="Arial Narrow" w:cs="Tahoma"/>
          <w:sz w:val="22"/>
          <w:szCs w:val="22"/>
        </w:rPr>
        <w:t xml:space="preserve"> i trwać będzie do </w:t>
      </w:r>
      <w:r w:rsidRPr="00262063">
        <w:rPr>
          <w:rFonts w:ascii="Arial Narrow" w:hAnsi="Arial Narrow" w:cs="Tahoma"/>
          <w:b/>
          <w:bCs/>
          <w:sz w:val="22"/>
          <w:szCs w:val="22"/>
        </w:rPr>
        <w:t xml:space="preserve">dnia </w:t>
      </w:r>
      <w:r w:rsidR="00867712">
        <w:rPr>
          <w:rFonts w:ascii="Arial Narrow" w:hAnsi="Arial Narrow" w:cs="Tahoma"/>
          <w:b/>
          <w:bCs/>
          <w:sz w:val="22"/>
          <w:szCs w:val="22"/>
        </w:rPr>
        <w:t>24</w:t>
      </w:r>
      <w:r w:rsidR="00F329A0">
        <w:rPr>
          <w:rFonts w:ascii="Arial Narrow" w:hAnsi="Arial Narrow" w:cs="Tahoma"/>
          <w:b/>
          <w:bCs/>
          <w:sz w:val="22"/>
          <w:szCs w:val="22"/>
        </w:rPr>
        <w:t xml:space="preserve"> października 2024 </w:t>
      </w:r>
      <w:r w:rsidRPr="00262063">
        <w:rPr>
          <w:rFonts w:ascii="Arial Narrow" w:hAnsi="Arial Narrow" w:cs="Tahoma"/>
          <w:b/>
          <w:bCs/>
          <w:sz w:val="22"/>
          <w:szCs w:val="22"/>
        </w:rPr>
        <w:t>r.</w:t>
      </w:r>
      <w:r w:rsidRPr="00262063">
        <w:rPr>
          <w:rFonts w:ascii="Arial Narrow" w:hAnsi="Arial Narrow" w:cs="Tahoma"/>
          <w:sz w:val="22"/>
          <w:szCs w:val="22"/>
        </w:rPr>
        <w:t xml:space="preserve"> włącznie, w dni robocze od poniedziałku do piątku.</w:t>
      </w:r>
    </w:p>
    <w:p w14:paraId="050FB2BE" w14:textId="77777777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1B979AEE" w14:textId="1F8A31BD" w:rsidR="005F0192" w:rsidRPr="00262063" w:rsidRDefault="00262063" w:rsidP="00262063">
      <w:pPr>
        <w:pStyle w:val="Zwykytekst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 xml:space="preserve">Przewidywana data przeniesienia własności Akcji Nabywanych poza rynkiem regulowanym oraz rozliczenia transakcji nabycia Akcji Nabywanych za pośrednictwem KDPW: </w:t>
      </w:r>
      <w:r w:rsidR="00867712">
        <w:rPr>
          <w:rFonts w:ascii="Arial Narrow" w:hAnsi="Arial Narrow" w:cs="Tahoma"/>
          <w:b/>
          <w:bCs/>
          <w:sz w:val="22"/>
          <w:szCs w:val="22"/>
        </w:rPr>
        <w:t>29</w:t>
      </w:r>
      <w:r w:rsidR="00F329A0">
        <w:rPr>
          <w:rFonts w:ascii="Arial Narrow" w:hAnsi="Arial Narrow" w:cs="Tahoma"/>
          <w:b/>
          <w:bCs/>
          <w:sz w:val="22"/>
          <w:szCs w:val="22"/>
        </w:rPr>
        <w:t xml:space="preserve"> października 2024 </w:t>
      </w:r>
      <w:r w:rsidRPr="00262063">
        <w:rPr>
          <w:rFonts w:ascii="Arial Narrow" w:hAnsi="Arial Narrow" w:cs="Tahoma"/>
          <w:b/>
          <w:bCs/>
          <w:sz w:val="22"/>
          <w:szCs w:val="22"/>
        </w:rPr>
        <w:t>r.</w:t>
      </w:r>
    </w:p>
    <w:p w14:paraId="5FCC16E4" w14:textId="339702E5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71AD34F7" w14:textId="77777777" w:rsidR="00262063" w:rsidRPr="00262063" w:rsidRDefault="00262063" w:rsidP="00262063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</w:rPr>
      </w:pPr>
      <w:r w:rsidRPr="00262063">
        <w:rPr>
          <w:rFonts w:ascii="Arial Narrow" w:hAnsi="Arial Narrow" w:cs="Tahoma"/>
          <w:b/>
          <w:sz w:val="22"/>
          <w:szCs w:val="22"/>
        </w:rPr>
        <w:t>[OŚWIADCZENIE WOLI]</w:t>
      </w:r>
    </w:p>
    <w:p w14:paraId="1CD5E204" w14:textId="77777777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4356CB68" w14:textId="2F8CC799" w:rsidR="00262063" w:rsidRPr="00262063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>Poprzez podpisanie formularza oferty sprzedaży akcjonariusz zbywający („</w:t>
      </w:r>
      <w:r w:rsidRPr="00262063">
        <w:rPr>
          <w:rFonts w:ascii="Arial Narrow" w:hAnsi="Arial Narrow" w:cs="Tahoma"/>
          <w:b/>
          <w:sz w:val="22"/>
          <w:szCs w:val="22"/>
        </w:rPr>
        <w:t>Akcjonariusz</w:t>
      </w:r>
      <w:r w:rsidRPr="00262063">
        <w:rPr>
          <w:rFonts w:ascii="Arial Narrow" w:hAnsi="Arial Narrow" w:cs="Tahoma"/>
          <w:sz w:val="22"/>
          <w:szCs w:val="22"/>
        </w:rPr>
        <w:t>”) składa oświadczenie woli o przyjęciu warunków określonych w Zaproszeniu („</w:t>
      </w:r>
      <w:r w:rsidRPr="00262063">
        <w:rPr>
          <w:rFonts w:ascii="Arial Narrow" w:hAnsi="Arial Narrow" w:cs="Tahoma"/>
          <w:b/>
          <w:sz w:val="22"/>
          <w:szCs w:val="22"/>
        </w:rPr>
        <w:t>Oferta Sprzedaży</w:t>
      </w:r>
      <w:r w:rsidRPr="00262063">
        <w:rPr>
          <w:rFonts w:ascii="Arial Narrow" w:hAnsi="Arial Narrow" w:cs="Tahoma"/>
          <w:sz w:val="22"/>
          <w:szCs w:val="22"/>
        </w:rPr>
        <w:t>”). Akcjonariuszami uprawnionymi do składania Ofert Sprzedaży w odpowiedzi na niniejsze Zaproszenie są wszyscy Akcjonariusze, tj. podmioty, na których rachunkach papierów wartościowych lub dla których na rachunkach papierów wartościowych (rachunkach zbiorczych) są zapisane akcje Spółki w chwili przyjmowania Ofert Sprzedaży.</w:t>
      </w:r>
    </w:p>
    <w:p w14:paraId="73EB49ED" w14:textId="77777777" w:rsidR="00262063" w:rsidRPr="003D3E9A" w:rsidRDefault="00262063" w:rsidP="00262063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780EDE5" w14:textId="4F8A2A27" w:rsidR="005F0192" w:rsidRPr="003D3E9A" w:rsidRDefault="005F0192" w:rsidP="00262063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ZASADY SKŁADANIA </w:t>
      </w:r>
      <w:r w:rsidR="00262063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 SPRZEDAŻY</w:t>
      </w:r>
    </w:p>
    <w:p w14:paraId="18332C81" w14:textId="35CA58FF" w:rsidR="005F0192" w:rsidRPr="003D3E9A" w:rsidRDefault="00262063" w:rsidP="00E86691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lastRenderedPageBreak/>
        <w:t xml:space="preserve">Akcjonariusze chcący złożyć Ofertę Sprzedaży </w:t>
      </w:r>
      <w:r w:rsidR="005F0192" w:rsidRPr="003D3E9A">
        <w:rPr>
          <w:rFonts w:ascii="Arial Narrow" w:hAnsi="Arial Narrow" w:cs="Tahoma"/>
          <w:sz w:val="22"/>
          <w:szCs w:val="22"/>
        </w:rPr>
        <w:t>powinny dokonać następujących czynności:</w:t>
      </w:r>
    </w:p>
    <w:p w14:paraId="7E3F212F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6E8FD7C" w14:textId="42DA855D" w:rsidR="005F0192" w:rsidRPr="003D3E9A" w:rsidRDefault="00262063" w:rsidP="00F40921">
      <w:pPr>
        <w:pStyle w:val="Zwykytekst"/>
        <w:numPr>
          <w:ilvl w:val="0"/>
          <w:numId w:val="17"/>
        </w:numPr>
        <w:jc w:val="both"/>
        <w:rPr>
          <w:rFonts w:ascii="Arial Narrow" w:hAnsi="Arial Narrow" w:cs="Tahoma"/>
          <w:sz w:val="22"/>
          <w:szCs w:val="22"/>
        </w:rPr>
      </w:pPr>
      <w:r w:rsidRPr="00262063">
        <w:rPr>
          <w:rFonts w:ascii="Arial Narrow" w:hAnsi="Arial Narrow" w:cs="Tahoma"/>
          <w:sz w:val="22"/>
          <w:szCs w:val="22"/>
        </w:rPr>
        <w:t xml:space="preserve">złożyć w podmiocie prowadzącym dla nich rachunek papierów wartościowych, na którym zapisane są Akcje Nabywane, Ofertę Sprzedaży wraz z dyspozycją blokady Akcji Nabywanych z terminem ważności do końca dnia rozliczenia transakcji nabycia Akcji Nabywanych w ramach Zaproszenia </w:t>
      </w:r>
      <w:r w:rsidR="00A5717D">
        <w:rPr>
          <w:rFonts w:ascii="Arial Narrow" w:hAnsi="Arial Narrow" w:cs="Tahoma"/>
          <w:sz w:val="22"/>
          <w:szCs w:val="22"/>
        </w:rPr>
        <w:t>(</w:t>
      </w:r>
      <w:r w:rsidR="00A5717D" w:rsidRPr="00A5717D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A5717D">
        <w:rPr>
          <w:rFonts w:ascii="Arial Narrow" w:hAnsi="Arial Narrow" w:cs="Tahoma"/>
          <w:sz w:val="22"/>
          <w:szCs w:val="22"/>
        </w:rPr>
        <w:t>)</w:t>
      </w:r>
      <w:r w:rsidR="005F0192" w:rsidRPr="003D3E9A">
        <w:rPr>
          <w:rFonts w:ascii="Arial Narrow" w:hAnsi="Arial Narrow" w:cs="Tahoma"/>
          <w:sz w:val="22"/>
          <w:szCs w:val="22"/>
        </w:rPr>
        <w:t>;</w:t>
      </w:r>
    </w:p>
    <w:p w14:paraId="4351702A" w14:textId="18C1AC81" w:rsidR="005F0192" w:rsidRPr="003D3E9A" w:rsidRDefault="005F0192" w:rsidP="00BD4390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7C39A99E" w14:textId="72C5E167" w:rsidR="00262063" w:rsidRDefault="00262063" w:rsidP="00BD4390">
      <w:pPr>
        <w:pStyle w:val="Zwykytekst"/>
        <w:numPr>
          <w:ilvl w:val="0"/>
          <w:numId w:val="17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</w:t>
      </w:r>
      <w:r w:rsidRPr="00262063">
        <w:rPr>
          <w:rFonts w:ascii="Arial Narrow" w:hAnsi="Arial Narrow" w:cs="Tahoma"/>
          <w:sz w:val="22"/>
          <w:szCs w:val="22"/>
        </w:rPr>
        <w:t xml:space="preserve"> przypadku w jakim Akcje Nabywane zapisane są na rachunku prowadzonym przez bank depozytariusza lub na rachunku zbiorczym prowadzonym przez bank depozytariusza Akcjonariusz powinien złożyć Ofertę Sprzedaży</w:t>
      </w:r>
      <w:r>
        <w:rPr>
          <w:rFonts w:ascii="Arial Narrow" w:hAnsi="Arial Narrow" w:cs="Tahoma"/>
          <w:sz w:val="22"/>
          <w:szCs w:val="22"/>
        </w:rPr>
        <w:t xml:space="preserve"> (</w:t>
      </w:r>
      <w:r w:rsidRPr="00F93D3F">
        <w:rPr>
          <w:rFonts w:ascii="Arial Narrow" w:hAnsi="Arial Narrow" w:cs="Tahoma"/>
          <w:b/>
          <w:bCs/>
          <w:sz w:val="22"/>
          <w:szCs w:val="22"/>
        </w:rPr>
        <w:t>Załącznik nr 2</w:t>
      </w:r>
      <w:r>
        <w:rPr>
          <w:rFonts w:ascii="Arial Narrow" w:hAnsi="Arial Narrow" w:cs="Tahoma"/>
          <w:sz w:val="22"/>
          <w:szCs w:val="22"/>
        </w:rPr>
        <w:t>)</w:t>
      </w:r>
      <w:r w:rsidRPr="00262063">
        <w:rPr>
          <w:rFonts w:ascii="Arial Narrow" w:hAnsi="Arial Narrow" w:cs="Tahoma"/>
          <w:sz w:val="22"/>
          <w:szCs w:val="22"/>
        </w:rPr>
        <w:t xml:space="preserve"> wraz z dyspozycją blokady Akcji Nabywanych z terminem ważności do końca dnia rozliczenia transakcji nabycia Akcji Nabywanych w ramach Zaproszenia</w:t>
      </w:r>
      <w:r>
        <w:rPr>
          <w:rFonts w:ascii="Arial Narrow" w:hAnsi="Arial Narrow" w:cs="Tahoma"/>
          <w:sz w:val="22"/>
          <w:szCs w:val="22"/>
        </w:rPr>
        <w:t xml:space="preserve"> (</w:t>
      </w:r>
      <w:r w:rsidRPr="00F93D3F">
        <w:rPr>
          <w:rFonts w:ascii="Arial Narrow" w:hAnsi="Arial Narrow" w:cs="Tahoma"/>
          <w:b/>
          <w:bCs/>
          <w:sz w:val="22"/>
          <w:szCs w:val="22"/>
        </w:rPr>
        <w:t xml:space="preserve">Załącznik nr </w:t>
      </w:r>
      <w:r>
        <w:rPr>
          <w:rFonts w:ascii="Arial Narrow" w:hAnsi="Arial Narrow" w:cs="Tahoma"/>
          <w:b/>
          <w:bCs/>
          <w:sz w:val="22"/>
          <w:szCs w:val="22"/>
        </w:rPr>
        <w:t>3</w:t>
      </w:r>
      <w:r w:rsidRPr="00F93D3F">
        <w:rPr>
          <w:rFonts w:ascii="Arial Narrow" w:hAnsi="Arial Narrow" w:cs="Tahoma"/>
          <w:sz w:val="22"/>
          <w:szCs w:val="22"/>
        </w:rPr>
        <w:t>)</w:t>
      </w:r>
      <w:r w:rsidRPr="00262063">
        <w:rPr>
          <w:rFonts w:ascii="Arial Narrow" w:hAnsi="Arial Narrow" w:cs="Tahoma"/>
          <w:sz w:val="22"/>
          <w:szCs w:val="22"/>
        </w:rPr>
        <w:t xml:space="preserve"> w podmiocie, z którym zawarł umowę o przyjmowanie i przekazywanie zleceń. Podmiot ten przekazuje powyższą dyspozycję blokady do banku depozytariusza prowadzącego rachunek papierów wartościowych lub rachunek zbiorczy, a bank depozytariusz następnie potwierdza temu podmiotowi ustanowienie blokady Akcji na rachunku papierów wartościowych lub rachunku zbiorczym</w:t>
      </w:r>
    </w:p>
    <w:p w14:paraId="456D25D2" w14:textId="77777777" w:rsidR="004802DC" w:rsidRPr="00262063" w:rsidRDefault="004802DC" w:rsidP="00262063">
      <w:pPr>
        <w:rPr>
          <w:rFonts w:ascii="Arial Narrow" w:hAnsi="Arial Narrow" w:cs="Tahoma"/>
          <w:sz w:val="22"/>
          <w:szCs w:val="22"/>
        </w:rPr>
      </w:pPr>
    </w:p>
    <w:p w14:paraId="6BE1830B" w14:textId="5488E45B" w:rsidR="004802DC" w:rsidRPr="00BD4390" w:rsidRDefault="004802DC" w:rsidP="000D6525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podmiot przyjmujący </w:t>
      </w:r>
      <w:r w:rsidR="00262063">
        <w:rPr>
          <w:rFonts w:ascii="Arial Narrow" w:hAnsi="Arial Narrow" w:cs="Tahoma"/>
          <w:sz w:val="22"/>
          <w:szCs w:val="22"/>
        </w:rPr>
        <w:t>Ofertę Sprzedaży</w:t>
      </w:r>
      <w:r>
        <w:rPr>
          <w:rFonts w:ascii="Arial Narrow" w:hAnsi="Arial Narrow" w:cs="Tahoma"/>
          <w:sz w:val="22"/>
          <w:szCs w:val="22"/>
        </w:rPr>
        <w:t xml:space="preserve"> przekazuje </w:t>
      </w:r>
      <w:r w:rsidR="00E9555F">
        <w:rPr>
          <w:rFonts w:ascii="Arial Narrow" w:hAnsi="Arial Narrow" w:cs="Tahoma"/>
          <w:sz w:val="22"/>
          <w:szCs w:val="22"/>
        </w:rPr>
        <w:t xml:space="preserve">Akcjonariuszowi </w:t>
      </w:r>
      <w:r>
        <w:rPr>
          <w:rFonts w:ascii="Arial Narrow" w:hAnsi="Arial Narrow" w:cs="Tahoma"/>
          <w:sz w:val="22"/>
          <w:szCs w:val="22"/>
        </w:rPr>
        <w:t>potwierdzenie je</w:t>
      </w:r>
      <w:r w:rsidR="00E9555F">
        <w:rPr>
          <w:rFonts w:ascii="Arial Narrow" w:hAnsi="Arial Narrow" w:cs="Tahoma"/>
          <w:sz w:val="22"/>
          <w:szCs w:val="22"/>
        </w:rPr>
        <w:t>j</w:t>
      </w:r>
      <w:r>
        <w:rPr>
          <w:rFonts w:ascii="Arial Narrow" w:hAnsi="Arial Narrow" w:cs="Tahoma"/>
          <w:sz w:val="22"/>
          <w:szCs w:val="22"/>
        </w:rPr>
        <w:t xml:space="preserve"> przyjęcia.</w:t>
      </w:r>
    </w:p>
    <w:p w14:paraId="5D883B6E" w14:textId="77777777" w:rsidR="00326B2D" w:rsidRPr="003D3E9A" w:rsidRDefault="00326B2D" w:rsidP="00BC23DD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AD0DD4B" w14:textId="5E53C6D3" w:rsidR="005F0192" w:rsidRDefault="00F92F31" w:rsidP="00BA700C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4802DC">
        <w:rPr>
          <w:rFonts w:ascii="Arial Narrow" w:hAnsi="Arial Narrow" w:cs="Tahoma"/>
          <w:sz w:val="22"/>
          <w:szCs w:val="22"/>
        </w:rPr>
        <w:t xml:space="preserve">TRIGON </w:t>
      </w:r>
      <w:r w:rsidR="005F0192" w:rsidRPr="004802DC">
        <w:rPr>
          <w:rFonts w:ascii="Arial Narrow" w:hAnsi="Arial Narrow" w:cs="Tahoma"/>
          <w:sz w:val="22"/>
          <w:szCs w:val="22"/>
        </w:rPr>
        <w:t>Dom Maklerski S</w:t>
      </w:r>
      <w:r w:rsidR="007D3E3E" w:rsidRPr="004802DC">
        <w:rPr>
          <w:rFonts w:ascii="Arial Narrow" w:hAnsi="Arial Narrow" w:cs="Tahoma"/>
          <w:sz w:val="22"/>
          <w:szCs w:val="22"/>
        </w:rPr>
        <w:t>.</w:t>
      </w:r>
      <w:r w:rsidR="005F0192" w:rsidRPr="004802DC">
        <w:rPr>
          <w:rFonts w:ascii="Arial Narrow" w:hAnsi="Arial Narrow" w:cs="Tahoma"/>
          <w:sz w:val="22"/>
          <w:szCs w:val="22"/>
        </w:rPr>
        <w:t>A</w:t>
      </w:r>
      <w:r w:rsidR="007D3E3E" w:rsidRPr="004802DC">
        <w:rPr>
          <w:rFonts w:ascii="Arial Narrow" w:hAnsi="Arial Narrow" w:cs="Tahoma"/>
          <w:sz w:val="22"/>
          <w:szCs w:val="22"/>
        </w:rPr>
        <w:t>.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 otworzy </w:t>
      </w:r>
      <w:r w:rsidR="00D87AF4" w:rsidRPr="004802DC">
        <w:rPr>
          <w:rFonts w:ascii="Arial Narrow" w:hAnsi="Arial Narrow" w:cs="Tahoma"/>
          <w:sz w:val="22"/>
          <w:szCs w:val="22"/>
        </w:rPr>
        <w:t xml:space="preserve">w dniu rozpoczęcia przyjmowania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D87AF4" w:rsidRPr="004802DC">
        <w:rPr>
          <w:rFonts w:ascii="Arial Narrow" w:hAnsi="Arial Narrow" w:cs="Tahoma"/>
          <w:sz w:val="22"/>
          <w:szCs w:val="22"/>
        </w:rPr>
        <w:t xml:space="preserve"> </w:t>
      </w:r>
      <w:r w:rsidR="004802DC" w:rsidRPr="004802DC">
        <w:rPr>
          <w:rFonts w:ascii="Arial Narrow" w:hAnsi="Arial Narrow" w:cs="Tahoma"/>
          <w:sz w:val="22"/>
          <w:szCs w:val="22"/>
        </w:rPr>
        <w:t xml:space="preserve">zbiorczy 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rejestr, w którym w okresie </w:t>
      </w:r>
      <w:r w:rsidR="00E9555F">
        <w:rPr>
          <w:rFonts w:ascii="Arial Narrow" w:hAnsi="Arial Narrow" w:cs="Tahoma"/>
          <w:sz w:val="22"/>
          <w:szCs w:val="22"/>
        </w:rPr>
        <w:t>przyjmowania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 </w:t>
      </w:r>
      <w:r w:rsidR="00817A61">
        <w:rPr>
          <w:rFonts w:ascii="Arial Narrow" w:hAnsi="Arial Narrow" w:cs="Tahoma"/>
          <w:sz w:val="22"/>
          <w:szCs w:val="22"/>
        </w:rPr>
        <w:t xml:space="preserve">będą one 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ewidencjonowane. Wpis do rejestru nastąpi najpóźniej w dniu po </w:t>
      </w:r>
      <w:r w:rsidR="00F93D3F" w:rsidRPr="004802DC">
        <w:rPr>
          <w:rFonts w:ascii="Arial Narrow" w:hAnsi="Arial Narrow" w:cs="Tahoma"/>
          <w:sz w:val="22"/>
          <w:szCs w:val="22"/>
        </w:rPr>
        <w:t>dniu,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 </w:t>
      </w:r>
      <w:r w:rsidR="004802DC" w:rsidRPr="004802DC">
        <w:rPr>
          <w:rFonts w:ascii="Arial Narrow" w:hAnsi="Arial Narrow" w:cs="Tahoma"/>
          <w:sz w:val="22"/>
          <w:szCs w:val="22"/>
        </w:rPr>
        <w:t>w którym TRIGON Dom Maklerski S.A. otrzymał ewidencję, o której mowa w pkt. 3.1 poniżej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. </w:t>
      </w:r>
    </w:p>
    <w:p w14:paraId="6E6BCF1B" w14:textId="77777777" w:rsidR="005F0192" w:rsidRPr="003D3E9A" w:rsidRDefault="005F0192" w:rsidP="000D6525">
      <w:pPr>
        <w:pStyle w:val="Zwykytekst"/>
        <w:jc w:val="both"/>
        <w:rPr>
          <w:rFonts w:ascii="Arial Narrow" w:hAnsi="Arial Narrow" w:cs="Tahoma"/>
          <w:i/>
          <w:sz w:val="22"/>
          <w:szCs w:val="22"/>
        </w:rPr>
      </w:pPr>
    </w:p>
    <w:p w14:paraId="38F524C9" w14:textId="4D32841A" w:rsidR="005F0192" w:rsidRPr="003D3E9A" w:rsidRDefault="00F92F31" w:rsidP="000D6525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TRIGON </w:t>
      </w:r>
      <w:r w:rsidR="005F0192" w:rsidRPr="003D3E9A">
        <w:rPr>
          <w:rFonts w:ascii="Arial Narrow" w:hAnsi="Arial Narrow" w:cs="Tahoma"/>
          <w:sz w:val="22"/>
          <w:szCs w:val="22"/>
        </w:rPr>
        <w:t>Dom Maklerski S</w:t>
      </w:r>
      <w:r w:rsidR="007D3E3E" w:rsidRPr="003D3E9A">
        <w:rPr>
          <w:rFonts w:ascii="Arial Narrow" w:hAnsi="Arial Narrow" w:cs="Tahoma"/>
          <w:sz w:val="22"/>
          <w:szCs w:val="22"/>
        </w:rPr>
        <w:t>.</w:t>
      </w:r>
      <w:r w:rsidR="005F0192" w:rsidRPr="003D3E9A">
        <w:rPr>
          <w:rFonts w:ascii="Arial Narrow" w:hAnsi="Arial Narrow" w:cs="Tahoma"/>
          <w:sz w:val="22"/>
          <w:szCs w:val="22"/>
        </w:rPr>
        <w:t>A</w:t>
      </w:r>
      <w:r w:rsidR="007D3E3E" w:rsidRPr="003D3E9A">
        <w:rPr>
          <w:rFonts w:ascii="Arial Narrow" w:hAnsi="Arial Narrow" w:cs="Tahoma"/>
          <w:sz w:val="22"/>
          <w:szCs w:val="22"/>
        </w:rPr>
        <w:t>.</w:t>
      </w:r>
      <w:r w:rsidR="005F0192" w:rsidRPr="003D3E9A">
        <w:rPr>
          <w:rFonts w:ascii="Arial Narrow" w:hAnsi="Arial Narrow" w:cs="Tahoma"/>
          <w:sz w:val="22"/>
          <w:szCs w:val="22"/>
        </w:rPr>
        <w:t xml:space="preserve"> nie będzie pobierać żadnych opłat z tytułu złożenia </w:t>
      </w:r>
      <w:r w:rsidR="00E9555F">
        <w:rPr>
          <w:rFonts w:ascii="Arial Narrow" w:hAnsi="Arial Narrow" w:cs="Tahoma"/>
          <w:sz w:val="22"/>
          <w:szCs w:val="22"/>
        </w:rPr>
        <w:t>Oferty</w:t>
      </w:r>
      <w:r w:rsidR="005F0192" w:rsidRPr="003D3E9A">
        <w:rPr>
          <w:rFonts w:ascii="Arial Narrow" w:hAnsi="Arial Narrow" w:cs="Tahoma"/>
          <w:sz w:val="22"/>
          <w:szCs w:val="22"/>
        </w:rPr>
        <w:t xml:space="preserve"> </w:t>
      </w:r>
      <w:r w:rsidR="00E9555F">
        <w:rPr>
          <w:rFonts w:ascii="Arial Narrow" w:hAnsi="Arial Narrow" w:cs="Tahoma"/>
          <w:sz w:val="22"/>
          <w:szCs w:val="22"/>
        </w:rPr>
        <w:t>Sprzedaży</w:t>
      </w:r>
      <w:r w:rsidR="00F26BD9" w:rsidRPr="003D3E9A">
        <w:rPr>
          <w:rFonts w:ascii="Arial Narrow" w:hAnsi="Arial Narrow" w:cs="Tahoma"/>
          <w:sz w:val="22"/>
          <w:szCs w:val="22"/>
        </w:rPr>
        <w:t>, przy czym za realizację transakcji firmy inwestycyjne</w:t>
      </w:r>
      <w:r w:rsidR="001500DB" w:rsidRPr="003D3E9A">
        <w:rPr>
          <w:rFonts w:ascii="Arial Narrow" w:hAnsi="Arial Narrow" w:cs="Tahoma"/>
          <w:sz w:val="22"/>
          <w:szCs w:val="22"/>
        </w:rPr>
        <w:t>,</w:t>
      </w:r>
      <w:r w:rsidR="00F26BD9" w:rsidRPr="003D3E9A">
        <w:rPr>
          <w:rFonts w:ascii="Arial Narrow" w:hAnsi="Arial Narrow" w:cs="Tahoma"/>
          <w:sz w:val="22"/>
          <w:szCs w:val="22"/>
        </w:rPr>
        <w:t xml:space="preserve"> w tym </w:t>
      </w:r>
      <w:proofErr w:type="spellStart"/>
      <w:r w:rsidR="00F26BD9" w:rsidRPr="003D3E9A">
        <w:rPr>
          <w:rFonts w:ascii="Arial Narrow" w:hAnsi="Arial Narrow" w:cs="Tahoma"/>
          <w:sz w:val="22"/>
          <w:szCs w:val="22"/>
        </w:rPr>
        <w:t>Trigon</w:t>
      </w:r>
      <w:proofErr w:type="spellEnd"/>
      <w:r w:rsidR="00F26BD9" w:rsidRPr="003D3E9A">
        <w:rPr>
          <w:rFonts w:ascii="Arial Narrow" w:hAnsi="Arial Narrow" w:cs="Tahoma"/>
          <w:sz w:val="22"/>
          <w:szCs w:val="22"/>
        </w:rPr>
        <w:t xml:space="preserve"> Dom Maklerski S.A. pobierze prowizję w wysokości uzależnionej od wewnętrznych regulacji danego podmiotu</w:t>
      </w:r>
      <w:r w:rsidR="005F0192" w:rsidRPr="003D3E9A">
        <w:rPr>
          <w:rFonts w:ascii="Arial Narrow" w:hAnsi="Arial Narrow" w:cs="Tahoma"/>
          <w:sz w:val="22"/>
          <w:szCs w:val="22"/>
        </w:rPr>
        <w:t>.</w:t>
      </w:r>
    </w:p>
    <w:p w14:paraId="2F91151A" w14:textId="77777777" w:rsidR="00974A72" w:rsidRPr="003D3E9A" w:rsidRDefault="00974A72" w:rsidP="00EB4ED6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E3575E" w14:textId="31813ECE" w:rsidR="00EB4ED6" w:rsidRPr="003D3E9A" w:rsidRDefault="00974A72" w:rsidP="00EB4ED6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="00EB4ED6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AB462E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PRZEKAZYWANIA </w:t>
      </w:r>
      <w:r w:rsidR="00C336BA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EWIDENCJI</w:t>
      </w:r>
      <w:r w:rsidR="00AB462E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9555F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</w:t>
      </w:r>
      <w:r w:rsidR="00AB462E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SPRZEDAŻ</w:t>
      </w:r>
      <w:r w:rsidR="00E9555F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</w:p>
    <w:p w14:paraId="0B9B9196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b/>
          <w:sz w:val="22"/>
          <w:szCs w:val="22"/>
        </w:rPr>
      </w:pPr>
    </w:p>
    <w:p w14:paraId="0FD59647" w14:textId="020EE1EA" w:rsidR="00EB4ED6" w:rsidRPr="003D3E9A" w:rsidRDefault="00EB4ED6" w:rsidP="00D130A8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TRIGON Dom Maklerski S.A. zwraca się z prośbą do podmiotów 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przyjmujących </w:t>
      </w:r>
      <w:r w:rsidR="00E9555F">
        <w:rPr>
          <w:rFonts w:ascii="Arial Narrow" w:hAnsi="Arial Narrow" w:cs="Tahoma"/>
          <w:sz w:val="22"/>
          <w:szCs w:val="22"/>
        </w:rPr>
        <w:t>Oferty Sprzedaży</w:t>
      </w:r>
      <w:r w:rsidRPr="003D3E9A">
        <w:rPr>
          <w:rFonts w:ascii="Arial Narrow" w:hAnsi="Arial Narrow" w:cs="Tahoma"/>
          <w:sz w:val="22"/>
          <w:szCs w:val="22"/>
        </w:rPr>
        <w:t xml:space="preserve"> o prowadzenie bieżącej ewidencji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 oraz </w:t>
      </w:r>
      <w:r w:rsidRPr="003D3E9A">
        <w:rPr>
          <w:rFonts w:ascii="Arial Narrow" w:hAnsi="Arial Narrow" w:cs="Tahoma"/>
          <w:sz w:val="22"/>
          <w:szCs w:val="22"/>
        </w:rPr>
        <w:t xml:space="preserve">o niezwłoczne (nie później jednak niż do godz. </w:t>
      </w:r>
      <w:r w:rsidR="00CA5CEE">
        <w:rPr>
          <w:rFonts w:ascii="Arial Narrow" w:hAnsi="Arial Narrow" w:cs="Tahoma"/>
          <w:sz w:val="22"/>
          <w:szCs w:val="22"/>
        </w:rPr>
        <w:t>11</w:t>
      </w:r>
      <w:r w:rsidRPr="003D3E9A">
        <w:rPr>
          <w:rFonts w:ascii="Arial Narrow" w:hAnsi="Arial Narrow" w:cs="Tahoma"/>
          <w:sz w:val="22"/>
          <w:szCs w:val="22"/>
        </w:rPr>
        <w:t xml:space="preserve">.00 następnego dnia roboczego po </w:t>
      </w:r>
      <w:r w:rsidR="00F93D3F" w:rsidRPr="003D3E9A">
        <w:rPr>
          <w:rFonts w:ascii="Arial Narrow" w:hAnsi="Arial Narrow" w:cs="Tahoma"/>
          <w:sz w:val="22"/>
          <w:szCs w:val="22"/>
        </w:rPr>
        <w:t>dniu,</w:t>
      </w:r>
      <w:r w:rsidRPr="003D3E9A">
        <w:rPr>
          <w:rFonts w:ascii="Arial Narrow" w:hAnsi="Arial Narrow" w:cs="Tahoma"/>
          <w:sz w:val="22"/>
          <w:szCs w:val="22"/>
        </w:rPr>
        <w:t xml:space="preserve"> </w:t>
      </w:r>
      <w:r w:rsidR="00C336BA" w:rsidRPr="003D3E9A">
        <w:rPr>
          <w:rFonts w:ascii="Arial Narrow" w:hAnsi="Arial Narrow" w:cs="Tahoma"/>
          <w:sz w:val="22"/>
          <w:szCs w:val="22"/>
        </w:rPr>
        <w:t xml:space="preserve">w którym przyjmowano </w:t>
      </w:r>
      <w:r w:rsidR="000E4297">
        <w:rPr>
          <w:rFonts w:ascii="Arial Narrow" w:hAnsi="Arial Narrow" w:cs="Tahoma"/>
          <w:sz w:val="22"/>
          <w:szCs w:val="22"/>
        </w:rPr>
        <w:t>Oferty Sprzedaży</w:t>
      </w:r>
      <w:r w:rsidR="00C336BA" w:rsidRPr="003D3E9A">
        <w:rPr>
          <w:rFonts w:ascii="Arial Narrow" w:hAnsi="Arial Narrow" w:cs="Tahoma"/>
          <w:sz w:val="22"/>
          <w:szCs w:val="22"/>
        </w:rPr>
        <w:t xml:space="preserve"> o każdorazowe przesłanie do TRIGON Domu Maklerskiego S.A. ewidencji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C336BA" w:rsidRPr="003D3E9A">
        <w:rPr>
          <w:rFonts w:ascii="Arial Narrow" w:hAnsi="Arial Narrow" w:cs="Tahoma"/>
          <w:sz w:val="22"/>
          <w:szCs w:val="22"/>
        </w:rPr>
        <w:t xml:space="preserve">, zgodnie 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z załączonym </w:t>
      </w:r>
      <w:r w:rsidR="00C336BA" w:rsidRPr="003D3E9A">
        <w:rPr>
          <w:rFonts w:ascii="Arial Narrow" w:hAnsi="Arial Narrow" w:cs="Tahoma"/>
          <w:sz w:val="22"/>
          <w:szCs w:val="22"/>
        </w:rPr>
        <w:t>wzorem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 (</w:t>
      </w:r>
      <w:r w:rsidR="00D130A8" w:rsidRPr="003D3E9A">
        <w:rPr>
          <w:rFonts w:ascii="Arial Narrow" w:hAnsi="Arial Narrow" w:cs="Tahoma"/>
          <w:b/>
          <w:bCs/>
          <w:sz w:val="22"/>
          <w:szCs w:val="22"/>
        </w:rPr>
        <w:t xml:space="preserve">załącznik nr </w:t>
      </w:r>
      <w:r w:rsidR="00486079">
        <w:rPr>
          <w:rFonts w:ascii="Arial Narrow" w:hAnsi="Arial Narrow" w:cs="Tahoma"/>
          <w:b/>
          <w:bCs/>
          <w:sz w:val="22"/>
          <w:szCs w:val="22"/>
        </w:rPr>
        <w:t>4</w:t>
      </w:r>
      <w:r w:rsidR="00D130A8" w:rsidRPr="003D3E9A">
        <w:rPr>
          <w:rFonts w:ascii="Arial Narrow" w:hAnsi="Arial Narrow" w:cs="Tahoma"/>
          <w:sz w:val="22"/>
          <w:szCs w:val="22"/>
        </w:rPr>
        <w:t>)</w:t>
      </w:r>
      <w:r w:rsidRPr="003D3E9A">
        <w:rPr>
          <w:rFonts w:ascii="Arial Narrow" w:hAnsi="Arial Narrow" w:cs="Tahoma"/>
          <w:sz w:val="22"/>
          <w:szCs w:val="22"/>
        </w:rPr>
        <w:t xml:space="preserve">. </w:t>
      </w:r>
    </w:p>
    <w:p w14:paraId="1DEE5747" w14:textId="77777777" w:rsidR="00D130A8" w:rsidRPr="003D3E9A" w:rsidRDefault="00D130A8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A14444C" w14:textId="74B8BF9B" w:rsidR="00D130A8" w:rsidRPr="003D3E9A" w:rsidRDefault="00F93D3F" w:rsidP="00D130A8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Ewidencja,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 o której mowa w pkt. 3.1 zawiera informacje o:</w:t>
      </w:r>
    </w:p>
    <w:p w14:paraId="1A254845" w14:textId="27FB909B" w:rsidR="00D130A8" w:rsidRPr="003D3E9A" w:rsidRDefault="00D130A8" w:rsidP="00D130A8">
      <w:pPr>
        <w:pStyle w:val="Akapitzlist"/>
        <w:numPr>
          <w:ilvl w:val="1"/>
          <w:numId w:val="25"/>
        </w:numPr>
        <w:ind w:left="709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przyjętych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Pr="003D3E9A">
        <w:rPr>
          <w:rFonts w:ascii="Arial Narrow" w:hAnsi="Arial Narrow" w:cs="Tahoma"/>
          <w:sz w:val="22"/>
          <w:szCs w:val="22"/>
        </w:rPr>
        <w:t xml:space="preserve">, zawierające indywidulany numer </w:t>
      </w:r>
      <w:r w:rsidR="00E9555F">
        <w:rPr>
          <w:rFonts w:ascii="Arial Narrow" w:hAnsi="Arial Narrow" w:cs="Tahoma"/>
          <w:sz w:val="22"/>
          <w:szCs w:val="22"/>
        </w:rPr>
        <w:t>danej Oferty Sprzedaży</w:t>
      </w:r>
      <w:r w:rsidRPr="003D3E9A">
        <w:rPr>
          <w:rFonts w:ascii="Arial Narrow" w:hAnsi="Arial Narrow" w:cs="Tahoma"/>
          <w:sz w:val="22"/>
          <w:szCs w:val="22"/>
        </w:rPr>
        <w:t>,</w:t>
      </w:r>
    </w:p>
    <w:p w14:paraId="23524414" w14:textId="1AAD871D" w:rsidR="00D130A8" w:rsidRPr="003D3E9A" w:rsidRDefault="00D130A8" w:rsidP="00D130A8">
      <w:pPr>
        <w:pStyle w:val="Akapitzlist"/>
        <w:numPr>
          <w:ilvl w:val="1"/>
          <w:numId w:val="25"/>
        </w:numPr>
        <w:ind w:left="709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liczbie akcji poszczególnych rodzajów objętych </w:t>
      </w:r>
      <w:r w:rsidR="00E9555F">
        <w:rPr>
          <w:rFonts w:ascii="Arial Narrow" w:hAnsi="Arial Narrow" w:cs="Tahoma"/>
          <w:sz w:val="22"/>
          <w:szCs w:val="22"/>
        </w:rPr>
        <w:t>daną Ofertą Sprzedaży</w:t>
      </w:r>
      <w:r w:rsidRPr="003D3E9A">
        <w:rPr>
          <w:rFonts w:ascii="Arial Narrow" w:hAnsi="Arial Narrow" w:cs="Tahoma"/>
          <w:sz w:val="22"/>
          <w:szCs w:val="22"/>
        </w:rPr>
        <w:t>,</w:t>
      </w:r>
    </w:p>
    <w:p w14:paraId="18B3D945" w14:textId="3F80200E" w:rsidR="00D130A8" w:rsidRPr="003D3E9A" w:rsidRDefault="00D130A8" w:rsidP="00D130A8">
      <w:pPr>
        <w:pStyle w:val="Akapitzlist"/>
        <w:numPr>
          <w:ilvl w:val="1"/>
          <w:numId w:val="25"/>
        </w:numPr>
        <w:ind w:left="709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dacie i miejscu przyjęcia </w:t>
      </w:r>
      <w:r w:rsidR="00E9555F">
        <w:rPr>
          <w:rFonts w:ascii="Arial Narrow" w:hAnsi="Arial Narrow" w:cs="Tahoma"/>
          <w:sz w:val="22"/>
          <w:szCs w:val="22"/>
        </w:rPr>
        <w:t>danej Oferty Sprzedaży</w:t>
      </w:r>
      <w:r w:rsidRPr="003D3E9A">
        <w:rPr>
          <w:rFonts w:ascii="Arial Narrow" w:hAnsi="Arial Narrow" w:cs="Tahoma"/>
          <w:sz w:val="22"/>
          <w:szCs w:val="22"/>
        </w:rPr>
        <w:t>.</w:t>
      </w:r>
    </w:p>
    <w:p w14:paraId="204F2E67" w14:textId="3857977E" w:rsidR="00D130A8" w:rsidRDefault="00D130A8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135B80E3" w14:textId="73C3BB84" w:rsidR="00C75621" w:rsidRDefault="00C75621" w:rsidP="00C75621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bookmarkStart w:id="0" w:name="_Hlk72331909"/>
      <w:r>
        <w:rPr>
          <w:rFonts w:ascii="Arial Narrow" w:hAnsi="Arial Narrow" w:cs="Tahoma"/>
          <w:sz w:val="22"/>
          <w:szCs w:val="22"/>
        </w:rPr>
        <w:t>N</w:t>
      </w:r>
      <w:r w:rsidRPr="00C75621">
        <w:rPr>
          <w:rFonts w:ascii="Arial Narrow" w:hAnsi="Arial Narrow" w:cs="Tahoma"/>
          <w:sz w:val="22"/>
          <w:szCs w:val="22"/>
        </w:rPr>
        <w:t>umery kolejn</w:t>
      </w:r>
      <w:r>
        <w:rPr>
          <w:rFonts w:ascii="Arial Narrow" w:hAnsi="Arial Narrow" w:cs="Tahoma"/>
          <w:sz w:val="22"/>
          <w:szCs w:val="22"/>
        </w:rPr>
        <w:t>ych</w:t>
      </w:r>
      <w:r w:rsidRPr="00C75621">
        <w:rPr>
          <w:rFonts w:ascii="Arial Narrow" w:hAnsi="Arial Narrow" w:cs="Tahoma"/>
          <w:sz w:val="22"/>
          <w:szCs w:val="22"/>
        </w:rPr>
        <w:t xml:space="preserve">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w pliku z Ewidencją </w:t>
      </w:r>
      <w:r w:rsidRPr="00C75621">
        <w:rPr>
          <w:rFonts w:ascii="Arial Narrow" w:hAnsi="Arial Narrow" w:cs="Tahoma"/>
          <w:sz w:val="22"/>
          <w:szCs w:val="22"/>
        </w:rPr>
        <w:t xml:space="preserve">powinny być podawane w formacie XXX/YYY (gdzie XXX to 3–cyfrowy kod uczestnika KDPW przyjmującego </w:t>
      </w:r>
      <w:r w:rsidR="00E9555F">
        <w:rPr>
          <w:rFonts w:ascii="Arial Narrow" w:hAnsi="Arial Narrow" w:cs="Tahoma"/>
          <w:sz w:val="22"/>
          <w:szCs w:val="22"/>
        </w:rPr>
        <w:t>Ofertę Sprzedaży</w:t>
      </w:r>
      <w:r w:rsidRPr="00C75621">
        <w:rPr>
          <w:rFonts w:ascii="Arial Narrow" w:hAnsi="Arial Narrow" w:cs="Tahoma"/>
          <w:sz w:val="22"/>
          <w:szCs w:val="22"/>
        </w:rPr>
        <w:t>, a YYY 3-cyfrowy nr kolejn</w:t>
      </w:r>
      <w:r w:rsidR="00E9555F">
        <w:rPr>
          <w:rFonts w:ascii="Arial Narrow" w:hAnsi="Arial Narrow" w:cs="Tahoma"/>
          <w:sz w:val="22"/>
          <w:szCs w:val="22"/>
        </w:rPr>
        <w:t>ej</w:t>
      </w:r>
      <w:r w:rsidRPr="00C75621">
        <w:rPr>
          <w:rFonts w:ascii="Arial Narrow" w:hAnsi="Arial Narrow" w:cs="Tahoma"/>
          <w:sz w:val="22"/>
          <w:szCs w:val="22"/>
        </w:rPr>
        <w:t xml:space="preserve"> przyjęte</w:t>
      </w:r>
      <w:r w:rsidR="00E9555F">
        <w:rPr>
          <w:rFonts w:ascii="Arial Narrow" w:hAnsi="Arial Narrow" w:cs="Tahoma"/>
          <w:sz w:val="22"/>
          <w:szCs w:val="22"/>
        </w:rPr>
        <w:t>j</w:t>
      </w:r>
      <w:r w:rsidRPr="00C75621">
        <w:rPr>
          <w:rFonts w:ascii="Arial Narrow" w:hAnsi="Arial Narrow" w:cs="Tahoma"/>
          <w:sz w:val="22"/>
          <w:szCs w:val="22"/>
        </w:rPr>
        <w:t xml:space="preserve"> </w:t>
      </w:r>
      <w:bookmarkEnd w:id="0"/>
      <w:r w:rsidR="00E9555F">
        <w:rPr>
          <w:rFonts w:ascii="Arial Narrow" w:hAnsi="Arial Narrow" w:cs="Tahoma"/>
          <w:sz w:val="22"/>
          <w:szCs w:val="22"/>
        </w:rPr>
        <w:t>Oferty Sprzedaży</w:t>
      </w:r>
      <w:r>
        <w:rPr>
          <w:rFonts w:ascii="Arial Narrow" w:hAnsi="Arial Narrow" w:cs="Tahoma"/>
          <w:sz w:val="22"/>
          <w:szCs w:val="22"/>
        </w:rPr>
        <w:t>.</w:t>
      </w:r>
    </w:p>
    <w:p w14:paraId="2B4EC2DA" w14:textId="77777777" w:rsidR="00C75621" w:rsidRDefault="00C75621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03880D55" w14:textId="2DE3B19B" w:rsidR="001E612D" w:rsidRDefault="001E612D" w:rsidP="001E612D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Ewidencja</w:t>
      </w:r>
      <w:r w:rsidRPr="001E612D">
        <w:rPr>
          <w:rFonts w:ascii="Arial Narrow" w:hAnsi="Arial Narrow" w:cs="Tahoma"/>
          <w:sz w:val="22"/>
          <w:szCs w:val="22"/>
        </w:rPr>
        <w:t xml:space="preserve"> powinn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być wypełnian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„narastająco” tzn. każd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następn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ewidencja </w:t>
      </w:r>
      <w:r w:rsidRPr="001E612D">
        <w:rPr>
          <w:rFonts w:ascii="Arial Narrow" w:hAnsi="Arial Narrow" w:cs="Tahoma"/>
          <w:sz w:val="22"/>
          <w:szCs w:val="22"/>
        </w:rPr>
        <w:t>powinn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zawierać również informacje o </w:t>
      </w:r>
      <w:r w:rsidR="00E9555F">
        <w:rPr>
          <w:rFonts w:ascii="Arial Narrow" w:hAnsi="Arial Narrow" w:cs="Tahoma"/>
          <w:sz w:val="22"/>
          <w:szCs w:val="22"/>
        </w:rPr>
        <w:t>Ofertach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Pr="001E612D">
        <w:rPr>
          <w:rFonts w:ascii="Arial Narrow" w:hAnsi="Arial Narrow" w:cs="Tahoma"/>
          <w:sz w:val="22"/>
          <w:szCs w:val="22"/>
        </w:rPr>
        <w:t>przyjętych w poprzednich dniach</w:t>
      </w:r>
      <w:r>
        <w:rPr>
          <w:rFonts w:ascii="Arial Narrow" w:hAnsi="Arial Narrow" w:cs="Tahoma"/>
          <w:sz w:val="22"/>
          <w:szCs w:val="22"/>
        </w:rPr>
        <w:t>.</w:t>
      </w:r>
    </w:p>
    <w:p w14:paraId="233E26EC" w14:textId="77777777" w:rsidR="001E612D" w:rsidRPr="003D3E9A" w:rsidRDefault="001E612D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82F2536" w14:textId="5497265A" w:rsidR="00D130A8" w:rsidRPr="003D3E9A" w:rsidRDefault="00D130A8" w:rsidP="00D130A8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W przypadku w jakim Akcje zapisane są na rachunku prowadzonym przez bank depozytariusza lub na rachunku zbiorczym </w:t>
      </w:r>
      <w:r w:rsidR="00C1676B" w:rsidRPr="003D3E9A">
        <w:rPr>
          <w:rFonts w:ascii="Arial Narrow" w:hAnsi="Arial Narrow" w:cs="Tahoma"/>
          <w:sz w:val="22"/>
          <w:szCs w:val="22"/>
        </w:rPr>
        <w:t xml:space="preserve">prowadzonym przez bank depozytariusza </w:t>
      </w:r>
      <w:r w:rsidR="00F93D3F" w:rsidRPr="003D3E9A">
        <w:rPr>
          <w:rFonts w:ascii="Arial Narrow" w:hAnsi="Arial Narrow" w:cs="Tahoma"/>
          <w:sz w:val="22"/>
          <w:szCs w:val="22"/>
        </w:rPr>
        <w:t>Ewidencja,</w:t>
      </w:r>
      <w:r w:rsidRPr="003D3E9A">
        <w:rPr>
          <w:rFonts w:ascii="Arial Narrow" w:hAnsi="Arial Narrow" w:cs="Tahoma"/>
          <w:sz w:val="22"/>
          <w:szCs w:val="22"/>
        </w:rPr>
        <w:t xml:space="preserve"> o której mowa w pkt. 3.1 zawiera dodatkowo potwierdzenie ustanowienia blokady </w:t>
      </w:r>
      <w:r w:rsidR="009C3030" w:rsidRPr="003D3E9A">
        <w:rPr>
          <w:rFonts w:ascii="Arial Narrow" w:hAnsi="Arial Narrow" w:cs="Tahoma"/>
          <w:sz w:val="22"/>
          <w:szCs w:val="22"/>
        </w:rPr>
        <w:t xml:space="preserve">na Akcjach będących przedmiotem </w:t>
      </w:r>
      <w:r w:rsidR="00E9555F">
        <w:rPr>
          <w:rFonts w:ascii="Arial Narrow" w:hAnsi="Arial Narrow" w:cs="Tahoma"/>
          <w:sz w:val="22"/>
          <w:szCs w:val="22"/>
        </w:rPr>
        <w:t>Oferty Sprzedaży</w:t>
      </w:r>
      <w:r w:rsidR="009C3030" w:rsidRPr="003D3E9A">
        <w:rPr>
          <w:rFonts w:ascii="Arial Narrow" w:hAnsi="Arial Narrow" w:cs="Tahoma"/>
          <w:sz w:val="22"/>
          <w:szCs w:val="22"/>
        </w:rPr>
        <w:t>.</w:t>
      </w:r>
    </w:p>
    <w:p w14:paraId="43BB50C0" w14:textId="02E985A8" w:rsidR="002C4B72" w:rsidRPr="003D3E9A" w:rsidRDefault="002C4B72" w:rsidP="002C4B7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3B92E22" w14:textId="342C2701" w:rsidR="002C4B72" w:rsidRDefault="002C4B72" w:rsidP="002C4B72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TRIGON Dom Maklerski S.A. informuje Państwa, że ewidencja przesłana po godz. </w:t>
      </w:r>
      <w:r w:rsidR="00CA5CEE">
        <w:rPr>
          <w:rFonts w:ascii="Arial Narrow" w:hAnsi="Arial Narrow" w:cs="Tahoma"/>
          <w:sz w:val="22"/>
          <w:szCs w:val="22"/>
        </w:rPr>
        <w:t>11</w:t>
      </w:r>
      <w:r w:rsidRPr="003D3E9A">
        <w:rPr>
          <w:rFonts w:ascii="Arial Narrow" w:hAnsi="Arial Narrow" w:cs="Tahoma"/>
          <w:sz w:val="22"/>
          <w:szCs w:val="22"/>
        </w:rPr>
        <w:t xml:space="preserve">.00 następnego </w:t>
      </w:r>
      <w:r w:rsidR="00737C3A" w:rsidRPr="003D3E9A">
        <w:rPr>
          <w:rFonts w:ascii="Arial Narrow" w:hAnsi="Arial Narrow" w:cs="Tahoma"/>
          <w:sz w:val="22"/>
          <w:szCs w:val="22"/>
        </w:rPr>
        <w:t xml:space="preserve">dnia roboczego po dniu zakończenia przyjmowania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="00737C3A" w:rsidRPr="003D3E9A">
        <w:rPr>
          <w:rFonts w:ascii="Arial Narrow" w:hAnsi="Arial Narrow" w:cs="Tahoma"/>
          <w:sz w:val="22"/>
          <w:szCs w:val="22"/>
        </w:rPr>
        <w:t xml:space="preserve">nie będzie brana pod uwagę, a </w:t>
      </w:r>
      <w:r w:rsidR="00E9555F">
        <w:rPr>
          <w:rFonts w:ascii="Arial Narrow" w:hAnsi="Arial Narrow" w:cs="Tahoma"/>
          <w:sz w:val="22"/>
          <w:szCs w:val="22"/>
        </w:rPr>
        <w:t>Oferty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="00737C3A" w:rsidRPr="003D3E9A">
        <w:rPr>
          <w:rFonts w:ascii="Arial Narrow" w:hAnsi="Arial Narrow" w:cs="Tahoma"/>
          <w:sz w:val="22"/>
          <w:szCs w:val="22"/>
        </w:rPr>
        <w:t xml:space="preserve">objęte tą ewidencją nie będą uznane za skutecznie złożone. TRIGON </w:t>
      </w:r>
      <w:r w:rsidR="00817A61" w:rsidRPr="003D3E9A">
        <w:rPr>
          <w:rFonts w:ascii="Arial Narrow" w:hAnsi="Arial Narrow" w:cs="Tahoma"/>
          <w:sz w:val="22"/>
          <w:szCs w:val="22"/>
        </w:rPr>
        <w:t xml:space="preserve">Dom Maklerski </w:t>
      </w:r>
      <w:r w:rsidR="00737C3A" w:rsidRPr="003D3E9A">
        <w:rPr>
          <w:rFonts w:ascii="Arial Narrow" w:hAnsi="Arial Narrow" w:cs="Tahoma"/>
          <w:sz w:val="22"/>
          <w:szCs w:val="22"/>
        </w:rPr>
        <w:t>S.A. uwzględni jedynie uprzednio przesłaną ewidencję na warunkach określonych w niniejszym pkt. 3. TRIGON Dom Maklerski S.A. nie ponosi jakiejkolwiek odpowiedzialności za nieprzesłanie przez Państwa ewidencji w terminie.</w:t>
      </w:r>
    </w:p>
    <w:p w14:paraId="25CC63D8" w14:textId="77777777" w:rsidR="00F93D3F" w:rsidRDefault="00F93D3F" w:rsidP="00F93D3F">
      <w:pPr>
        <w:pStyle w:val="Akapitzlist"/>
        <w:rPr>
          <w:rFonts w:ascii="Arial Narrow" w:hAnsi="Arial Narrow" w:cs="Tahoma"/>
          <w:sz w:val="22"/>
          <w:szCs w:val="22"/>
        </w:rPr>
      </w:pPr>
    </w:p>
    <w:p w14:paraId="1494A6B7" w14:textId="3B907157" w:rsidR="00F93D3F" w:rsidRDefault="00F93D3F" w:rsidP="002C4B72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 xml:space="preserve">W przypadku w jakim dana firma inwestycyjna po przyjęciu </w:t>
      </w:r>
      <w:r w:rsidR="000E4297">
        <w:rPr>
          <w:rFonts w:ascii="Arial Narrow" w:hAnsi="Arial Narrow" w:cs="Tahoma"/>
          <w:sz w:val="22"/>
          <w:szCs w:val="22"/>
        </w:rPr>
        <w:t>Oferty Sprzedaży</w:t>
      </w:r>
      <w:r>
        <w:rPr>
          <w:rFonts w:ascii="Arial Narrow" w:hAnsi="Arial Narrow" w:cs="Tahoma"/>
          <w:sz w:val="22"/>
          <w:szCs w:val="22"/>
        </w:rPr>
        <w:t xml:space="preserve"> i przesłaniu ewidencji w kolejnych dniach nie przyjęła żadne</w:t>
      </w:r>
      <w:r w:rsidR="00E9555F">
        <w:rPr>
          <w:rFonts w:ascii="Arial Narrow" w:hAnsi="Arial Narrow" w:cs="Tahoma"/>
          <w:sz w:val="22"/>
          <w:szCs w:val="22"/>
        </w:rPr>
        <w:t>j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E9555F">
        <w:rPr>
          <w:rFonts w:ascii="Arial Narrow" w:hAnsi="Arial Narrow" w:cs="Tahoma"/>
          <w:sz w:val="22"/>
          <w:szCs w:val="22"/>
        </w:rPr>
        <w:t>Oferty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TRIGON Dom Maklerski S.A. zwraca się z prośbą o nieprzysłanie wcześniejszej ewidencji bez nowych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>
        <w:rPr>
          <w:rFonts w:ascii="Arial Narrow" w:hAnsi="Arial Narrow" w:cs="Tahoma"/>
          <w:sz w:val="22"/>
          <w:szCs w:val="22"/>
        </w:rPr>
        <w:t xml:space="preserve">, a jedynie o wiadomość email z informacją o braku nowych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w danym dniu.</w:t>
      </w:r>
    </w:p>
    <w:p w14:paraId="1399EFAA" w14:textId="77777777" w:rsidR="00F93D3F" w:rsidRDefault="00F93D3F" w:rsidP="00F93D3F">
      <w:pPr>
        <w:pStyle w:val="Akapitzlist"/>
        <w:rPr>
          <w:rFonts w:ascii="Arial Narrow" w:hAnsi="Arial Narrow" w:cs="Tahoma"/>
          <w:sz w:val="22"/>
          <w:szCs w:val="22"/>
        </w:rPr>
      </w:pPr>
    </w:p>
    <w:p w14:paraId="181C106A" w14:textId="5C3E9445" w:rsidR="00EB4ED6" w:rsidRDefault="00F93D3F" w:rsidP="0012377E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C75621">
        <w:rPr>
          <w:rFonts w:ascii="Arial Narrow" w:hAnsi="Arial Narrow" w:cs="Tahoma"/>
          <w:sz w:val="22"/>
          <w:szCs w:val="22"/>
        </w:rPr>
        <w:t xml:space="preserve">W przypadku w jakim dana firma inwestycyjna nie przyjęła żadnych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Pr="00C75621">
        <w:rPr>
          <w:rFonts w:ascii="Arial Narrow" w:hAnsi="Arial Narrow" w:cs="Tahoma"/>
          <w:sz w:val="22"/>
          <w:szCs w:val="22"/>
        </w:rPr>
        <w:t>TRIGON Dom Maklerski S.A. zwraca się z prośbą o nieprzesyłanie pustych ewidencji.</w:t>
      </w:r>
    </w:p>
    <w:p w14:paraId="01FA493E" w14:textId="77777777" w:rsidR="00C75621" w:rsidRDefault="00C75621" w:rsidP="00C75621">
      <w:pPr>
        <w:pStyle w:val="Akapitzlist"/>
        <w:rPr>
          <w:rFonts w:ascii="Arial Narrow" w:hAnsi="Arial Narrow" w:cs="Tahoma"/>
          <w:sz w:val="22"/>
          <w:szCs w:val="22"/>
        </w:rPr>
      </w:pPr>
    </w:p>
    <w:p w14:paraId="077DD8FE" w14:textId="1F6307B8" w:rsidR="00C75621" w:rsidRDefault="00C75621" w:rsidP="0012377E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C75621">
        <w:rPr>
          <w:rFonts w:ascii="Arial Narrow" w:hAnsi="Arial Narrow" w:cs="Tahoma"/>
          <w:sz w:val="22"/>
          <w:szCs w:val="22"/>
        </w:rPr>
        <w:t xml:space="preserve">Najpóźniej do godziny 11.00 następnego dnia roboczego po dniu zakończenia przyjmowania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Pr="00C75621">
        <w:rPr>
          <w:rFonts w:ascii="Arial Narrow" w:hAnsi="Arial Narrow" w:cs="Tahoma"/>
          <w:sz w:val="22"/>
          <w:szCs w:val="22"/>
        </w:rPr>
        <w:t>, firma inwestycyjna, która przyjęła przynajmniej jed</w:t>
      </w:r>
      <w:r w:rsidR="00E9555F">
        <w:rPr>
          <w:rFonts w:ascii="Arial Narrow" w:hAnsi="Arial Narrow" w:cs="Tahoma"/>
          <w:sz w:val="22"/>
          <w:szCs w:val="22"/>
        </w:rPr>
        <w:t>ną</w:t>
      </w:r>
      <w:r w:rsidRPr="00C75621">
        <w:rPr>
          <w:rFonts w:ascii="Arial Narrow" w:hAnsi="Arial Narrow" w:cs="Tahoma"/>
          <w:sz w:val="22"/>
          <w:szCs w:val="22"/>
        </w:rPr>
        <w:t xml:space="preserve"> </w:t>
      </w:r>
      <w:r w:rsidR="00E9555F">
        <w:rPr>
          <w:rFonts w:ascii="Arial Narrow" w:hAnsi="Arial Narrow" w:cs="Tahoma"/>
          <w:sz w:val="22"/>
          <w:szCs w:val="22"/>
        </w:rPr>
        <w:t>Ofertę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Pr="00C75621">
        <w:rPr>
          <w:rFonts w:ascii="Arial Narrow" w:hAnsi="Arial Narrow" w:cs="Tahoma"/>
          <w:sz w:val="22"/>
          <w:szCs w:val="22"/>
        </w:rPr>
        <w:t xml:space="preserve">w odpowiedzi na </w:t>
      </w:r>
      <w:r w:rsidR="00E9555F">
        <w:rPr>
          <w:rFonts w:ascii="Arial Narrow" w:hAnsi="Arial Narrow" w:cs="Tahoma"/>
          <w:sz w:val="22"/>
          <w:szCs w:val="22"/>
        </w:rPr>
        <w:t>Zaproszenie</w:t>
      </w:r>
      <w:r w:rsidRPr="00C75621">
        <w:rPr>
          <w:rFonts w:ascii="Arial Narrow" w:hAnsi="Arial Narrow" w:cs="Tahoma"/>
          <w:sz w:val="22"/>
          <w:szCs w:val="22"/>
        </w:rPr>
        <w:t xml:space="preserve"> przesyła w postaci pliku Microsoft Excel (zabezpieczonego hasłem) na adres </w:t>
      </w:r>
      <w:hyperlink r:id="rId8" w:history="1">
        <w:r w:rsidRPr="00B91045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  <w:r>
        <w:rPr>
          <w:rFonts w:ascii="Arial Narrow" w:hAnsi="Arial Narrow" w:cs="Tahoma"/>
          <w:sz w:val="22"/>
          <w:szCs w:val="22"/>
        </w:rPr>
        <w:t xml:space="preserve"> </w:t>
      </w:r>
      <w:r w:rsidRPr="00C75621">
        <w:rPr>
          <w:rFonts w:ascii="Arial Narrow" w:hAnsi="Arial Narrow" w:cs="Tahoma"/>
          <w:sz w:val="22"/>
          <w:szCs w:val="22"/>
        </w:rPr>
        <w:t>zweryfikowane, końcow</w:t>
      </w:r>
      <w:r w:rsidR="003A5674">
        <w:rPr>
          <w:rFonts w:ascii="Arial Narrow" w:hAnsi="Arial Narrow" w:cs="Tahoma"/>
          <w:sz w:val="22"/>
          <w:szCs w:val="22"/>
        </w:rPr>
        <w:t>ą Ewidencję zawierającą</w:t>
      </w:r>
      <w:r w:rsidRPr="00C75621">
        <w:rPr>
          <w:rFonts w:ascii="Arial Narrow" w:hAnsi="Arial Narrow" w:cs="Tahoma"/>
          <w:sz w:val="22"/>
          <w:szCs w:val="22"/>
        </w:rPr>
        <w:t xml:space="preserve"> zestawienie liczby przyjętych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Pr="00C75621">
        <w:rPr>
          <w:rFonts w:ascii="Arial Narrow" w:hAnsi="Arial Narrow" w:cs="Tahoma"/>
          <w:sz w:val="22"/>
          <w:szCs w:val="22"/>
        </w:rPr>
        <w:t xml:space="preserve">wraz z końcową liczbą akcji, na które zostały złożone </w:t>
      </w:r>
      <w:r w:rsidR="00E9555F">
        <w:rPr>
          <w:rFonts w:ascii="Arial Narrow" w:hAnsi="Arial Narrow" w:cs="Tahoma"/>
          <w:sz w:val="22"/>
          <w:szCs w:val="22"/>
        </w:rPr>
        <w:t>Ofert Sprzedaży</w:t>
      </w:r>
      <w:r w:rsidR="00E9555F" w:rsidRPr="003D3E9A">
        <w:rPr>
          <w:rFonts w:ascii="Arial Narrow" w:hAnsi="Arial Narrow" w:cs="Tahoma"/>
          <w:sz w:val="22"/>
          <w:szCs w:val="22"/>
        </w:rPr>
        <w:t xml:space="preserve"> </w:t>
      </w:r>
      <w:r w:rsidRPr="00C75621">
        <w:rPr>
          <w:rFonts w:ascii="Arial Narrow" w:hAnsi="Arial Narrow" w:cs="Tahoma"/>
          <w:sz w:val="22"/>
          <w:szCs w:val="22"/>
        </w:rPr>
        <w:t xml:space="preserve">w </w:t>
      </w:r>
      <w:r w:rsidR="00E9555F">
        <w:rPr>
          <w:rFonts w:ascii="Arial Narrow" w:hAnsi="Arial Narrow" w:cs="Tahoma"/>
          <w:sz w:val="22"/>
          <w:szCs w:val="22"/>
        </w:rPr>
        <w:t>Zaproszeniu</w:t>
      </w:r>
      <w:r w:rsidRPr="00C75621">
        <w:rPr>
          <w:rFonts w:ascii="Arial Narrow" w:hAnsi="Arial Narrow" w:cs="Tahoma"/>
          <w:sz w:val="22"/>
          <w:szCs w:val="22"/>
        </w:rPr>
        <w:t xml:space="preserve"> </w:t>
      </w:r>
      <w:r w:rsidR="003A5674">
        <w:rPr>
          <w:rFonts w:ascii="Arial Narrow" w:hAnsi="Arial Narrow" w:cs="Tahoma"/>
          <w:sz w:val="22"/>
          <w:szCs w:val="22"/>
        </w:rPr>
        <w:t>(</w:t>
      </w:r>
      <w:r w:rsidR="003A5674" w:rsidRPr="003A5674">
        <w:rPr>
          <w:rFonts w:ascii="Arial Narrow" w:hAnsi="Arial Narrow" w:cs="Tahoma"/>
          <w:b/>
          <w:bCs/>
          <w:sz w:val="22"/>
          <w:szCs w:val="22"/>
        </w:rPr>
        <w:t>z</w:t>
      </w:r>
      <w:r w:rsidRPr="003A5674">
        <w:rPr>
          <w:rFonts w:ascii="Arial Narrow" w:hAnsi="Arial Narrow" w:cs="Tahoma"/>
          <w:b/>
          <w:bCs/>
          <w:sz w:val="22"/>
          <w:szCs w:val="22"/>
        </w:rPr>
        <w:t>ałącznik nr 5</w:t>
      </w:r>
      <w:r w:rsidR="003A5674">
        <w:rPr>
          <w:rFonts w:ascii="Arial Narrow" w:hAnsi="Arial Narrow" w:cs="Tahoma"/>
          <w:sz w:val="22"/>
          <w:szCs w:val="22"/>
        </w:rPr>
        <w:t>).</w:t>
      </w:r>
    </w:p>
    <w:p w14:paraId="41712102" w14:textId="77777777" w:rsidR="00C75621" w:rsidRPr="00C75621" w:rsidRDefault="00C75621" w:rsidP="00C75621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07AE6DA1" w14:textId="15FC3D1B" w:rsidR="00EB4ED6" w:rsidRDefault="00EB4ED6" w:rsidP="00EB4ED6">
      <w:pPr>
        <w:pStyle w:val="Zwykytekst"/>
        <w:tabs>
          <w:tab w:val="num" w:pos="360"/>
        </w:tabs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75376116"/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ZASADY ZAWIERANIA I ROZLICZANIA TRANSAKCJI </w:t>
      </w:r>
    </w:p>
    <w:p w14:paraId="08C0F939" w14:textId="77777777" w:rsidR="00CA535C" w:rsidRPr="003D3E9A" w:rsidRDefault="00CA535C" w:rsidP="00EB4ED6">
      <w:pPr>
        <w:pStyle w:val="Zwykytekst"/>
        <w:tabs>
          <w:tab w:val="num" w:pos="360"/>
        </w:tabs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1FDC95" w14:textId="0DDFA958" w:rsidR="00EB4ED6" w:rsidRPr="003D3E9A" w:rsidRDefault="00EB4ED6" w:rsidP="001500DB">
      <w:pPr>
        <w:numPr>
          <w:ilvl w:val="1"/>
          <w:numId w:val="12"/>
        </w:numPr>
        <w:jc w:val="both"/>
        <w:rPr>
          <w:rFonts w:ascii="Arial Narrow" w:hAnsi="Arial Narrow" w:cs="Tahoma"/>
          <w:sz w:val="22"/>
          <w:szCs w:val="22"/>
        </w:rPr>
      </w:pPr>
      <w:r w:rsidRPr="000D6525">
        <w:rPr>
          <w:rFonts w:ascii="Arial Narrow" w:hAnsi="Arial Narrow" w:cs="Tahoma"/>
          <w:sz w:val="22"/>
          <w:szCs w:val="22"/>
        </w:rPr>
        <w:t xml:space="preserve">W dniu </w:t>
      </w:r>
      <w:r w:rsidR="00243692" w:rsidRPr="000D6525">
        <w:rPr>
          <w:rFonts w:ascii="Arial Narrow" w:hAnsi="Arial Narrow" w:cs="Tahoma"/>
          <w:sz w:val="22"/>
          <w:szCs w:val="22"/>
        </w:rPr>
        <w:t xml:space="preserve">roboczym </w:t>
      </w:r>
      <w:r w:rsidRPr="000D6525">
        <w:rPr>
          <w:rFonts w:ascii="Arial Narrow" w:hAnsi="Arial Narrow" w:cs="Tahoma"/>
          <w:sz w:val="22"/>
          <w:szCs w:val="22"/>
        </w:rPr>
        <w:t>poprzedzającym dzień zawarcia transakcji,</w:t>
      </w:r>
      <w:r w:rsidRPr="003D3E9A">
        <w:rPr>
          <w:rFonts w:ascii="Arial Narrow" w:hAnsi="Arial Narrow" w:cs="Tahoma"/>
          <w:sz w:val="22"/>
          <w:szCs w:val="22"/>
        </w:rPr>
        <w:t xml:space="preserve"> TRIGON Dom Maklerski S.A. przekaże </w:t>
      </w:r>
      <w:r w:rsidR="009F7141">
        <w:rPr>
          <w:rFonts w:ascii="Arial Narrow" w:hAnsi="Arial Narrow" w:cs="Tahoma"/>
          <w:sz w:val="22"/>
          <w:szCs w:val="22"/>
        </w:rPr>
        <w:t>uczestnikom KDPW</w:t>
      </w:r>
      <w:r w:rsidRPr="003D3E9A">
        <w:rPr>
          <w:rFonts w:ascii="Arial Narrow" w:hAnsi="Arial Narrow" w:cs="Tahoma"/>
          <w:sz w:val="22"/>
          <w:szCs w:val="22"/>
        </w:rPr>
        <w:t xml:space="preserve"> informację o </w:t>
      </w:r>
      <w:r w:rsidR="00CB2F73" w:rsidRPr="003D3E9A">
        <w:rPr>
          <w:rFonts w:ascii="Arial Narrow" w:hAnsi="Arial Narrow" w:cs="Tahoma"/>
          <w:sz w:val="22"/>
          <w:szCs w:val="22"/>
        </w:rPr>
        <w:t xml:space="preserve">liczbie </w:t>
      </w:r>
      <w:r w:rsidRPr="003D3E9A">
        <w:rPr>
          <w:rFonts w:ascii="Arial Narrow" w:hAnsi="Arial Narrow" w:cs="Tahoma"/>
          <w:sz w:val="22"/>
          <w:szCs w:val="22"/>
        </w:rPr>
        <w:t xml:space="preserve">Akcji, na jaką powinny być wystawione </w:t>
      </w:r>
      <w:r w:rsidR="009F7141" w:rsidRPr="009F7141">
        <w:rPr>
          <w:rFonts w:ascii="Arial Narrow" w:hAnsi="Arial Narrow" w:cs="Tahoma"/>
          <w:sz w:val="22"/>
          <w:szCs w:val="22"/>
        </w:rPr>
        <w:t xml:space="preserve">instrukcje rozliczeniowe w wykonaniu Transakcji </w:t>
      </w:r>
      <w:r w:rsidRPr="003D3E9A">
        <w:rPr>
          <w:rFonts w:ascii="Arial Narrow" w:hAnsi="Arial Narrow" w:cs="Tahoma"/>
          <w:sz w:val="22"/>
          <w:szCs w:val="22"/>
        </w:rPr>
        <w:t xml:space="preserve">wraz z informacją o realizacji poszczególnych </w:t>
      </w:r>
      <w:r w:rsidR="00C24282" w:rsidRPr="00C24282">
        <w:rPr>
          <w:rFonts w:ascii="Arial Narrow" w:hAnsi="Arial Narrow" w:cs="Tahoma"/>
          <w:sz w:val="22"/>
          <w:szCs w:val="22"/>
        </w:rPr>
        <w:t xml:space="preserve">Ofert Sprzedaży </w:t>
      </w:r>
      <w:r w:rsidRPr="003D3E9A">
        <w:rPr>
          <w:rFonts w:ascii="Arial Narrow" w:hAnsi="Arial Narrow" w:cs="Tahoma"/>
          <w:sz w:val="22"/>
          <w:szCs w:val="22"/>
        </w:rPr>
        <w:t>(</w:t>
      </w:r>
      <w:r w:rsidRPr="003D3E9A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CA5CEE">
        <w:rPr>
          <w:rFonts w:ascii="Arial Narrow" w:hAnsi="Arial Narrow" w:cs="Tahoma"/>
          <w:b/>
          <w:sz w:val="22"/>
          <w:szCs w:val="22"/>
        </w:rPr>
        <w:t>6</w:t>
      </w:r>
      <w:r w:rsidRPr="003D3E9A">
        <w:rPr>
          <w:rFonts w:ascii="Arial Narrow" w:hAnsi="Arial Narrow" w:cs="Tahoma"/>
          <w:sz w:val="22"/>
          <w:szCs w:val="22"/>
        </w:rPr>
        <w:t xml:space="preserve">). </w:t>
      </w:r>
      <w:r w:rsidR="009F7141" w:rsidRPr="009F7141">
        <w:rPr>
          <w:rFonts w:ascii="Arial Narrow" w:hAnsi="Arial Narrow" w:cs="Tahoma"/>
          <w:sz w:val="22"/>
          <w:szCs w:val="22"/>
        </w:rPr>
        <w:t xml:space="preserve">Instrukcje rozliczeniowe </w:t>
      </w:r>
      <w:r w:rsidRPr="003D3E9A">
        <w:rPr>
          <w:rFonts w:ascii="Arial Narrow" w:hAnsi="Arial Narrow" w:cs="Tahoma"/>
          <w:sz w:val="22"/>
          <w:szCs w:val="22"/>
        </w:rPr>
        <w:t xml:space="preserve">powinny zostać wystawione z terminem ważności do </w:t>
      </w:r>
      <w:r w:rsidR="001500DB" w:rsidRPr="003D3E9A">
        <w:rPr>
          <w:rFonts w:ascii="Arial Narrow" w:hAnsi="Arial Narrow" w:cs="Tahoma"/>
          <w:sz w:val="22"/>
          <w:szCs w:val="22"/>
        </w:rPr>
        <w:t xml:space="preserve">końca dnia zawarcia transakcji w ramach </w:t>
      </w:r>
      <w:r w:rsidR="00C24282">
        <w:rPr>
          <w:rFonts w:ascii="Arial Narrow" w:hAnsi="Arial Narrow" w:cs="Tahoma"/>
          <w:sz w:val="22"/>
          <w:szCs w:val="22"/>
        </w:rPr>
        <w:t>Zaproszenia</w:t>
      </w:r>
      <w:r w:rsidR="001500DB" w:rsidRPr="003D3E9A">
        <w:rPr>
          <w:rFonts w:ascii="Arial Narrow" w:hAnsi="Arial Narrow" w:cs="Tahoma"/>
          <w:sz w:val="22"/>
          <w:szCs w:val="22"/>
        </w:rPr>
        <w:t>.</w:t>
      </w:r>
    </w:p>
    <w:p w14:paraId="6B5E0E34" w14:textId="77777777" w:rsidR="00EB4ED6" w:rsidRPr="003D3E9A" w:rsidRDefault="00EB4ED6" w:rsidP="00EB4ED6">
      <w:pPr>
        <w:jc w:val="both"/>
        <w:rPr>
          <w:rFonts w:ascii="Arial Narrow" w:hAnsi="Arial Narrow" w:cs="Tahoma"/>
          <w:sz w:val="22"/>
          <w:szCs w:val="22"/>
        </w:rPr>
      </w:pPr>
    </w:p>
    <w:p w14:paraId="1253C513" w14:textId="23C448B2" w:rsidR="00EB4ED6" w:rsidRPr="003D3E9A" w:rsidRDefault="009F7141" w:rsidP="00EB4ED6">
      <w:pPr>
        <w:numPr>
          <w:ilvl w:val="1"/>
          <w:numId w:val="12"/>
        </w:numPr>
        <w:jc w:val="both"/>
        <w:rPr>
          <w:rFonts w:ascii="Arial Narrow" w:hAnsi="Arial Narrow" w:cs="Tahoma"/>
          <w:sz w:val="22"/>
          <w:szCs w:val="22"/>
        </w:rPr>
      </w:pPr>
      <w:r w:rsidRPr="009F7141">
        <w:rPr>
          <w:rFonts w:ascii="Arial Narrow" w:hAnsi="Arial Narrow" w:cs="Tahoma"/>
          <w:sz w:val="22"/>
          <w:szCs w:val="22"/>
        </w:rPr>
        <w:t xml:space="preserve">Zawarcie transakcji nastąpi za pośrednictwem systemu rozliczeniowego KDPW, na podstawie płatnych instrukcji rozrachunkowych wystawionych przez TRIGON </w:t>
      </w:r>
      <w:r>
        <w:rPr>
          <w:rFonts w:ascii="Arial Narrow" w:hAnsi="Arial Narrow" w:cs="Tahoma"/>
          <w:sz w:val="22"/>
          <w:szCs w:val="22"/>
        </w:rPr>
        <w:t>Dom Maklerski S.A.</w:t>
      </w:r>
      <w:r w:rsidRPr="009F7141">
        <w:rPr>
          <w:rFonts w:ascii="Arial Narrow" w:hAnsi="Arial Narrow" w:cs="Tahoma"/>
          <w:sz w:val="22"/>
          <w:szCs w:val="22"/>
        </w:rPr>
        <w:t xml:space="preserve"> w imieniu Podmiotu Nabywającego Akcje oraz podmioty prowadzące rachunki papierów wartościowych Akcjonariuszy</w:t>
      </w:r>
      <w:r w:rsidR="00EB4ED6" w:rsidRPr="003D3E9A">
        <w:rPr>
          <w:rFonts w:ascii="Arial Narrow" w:hAnsi="Arial Narrow" w:cs="Tahoma"/>
          <w:sz w:val="22"/>
          <w:szCs w:val="22"/>
        </w:rPr>
        <w:t xml:space="preserve">. </w:t>
      </w:r>
    </w:p>
    <w:p w14:paraId="7D3C9F1F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19B16791" w14:textId="54C3E424" w:rsidR="00EB4ED6" w:rsidRPr="003D3E9A" w:rsidRDefault="00EB4ED6" w:rsidP="00EB4ED6">
      <w:pPr>
        <w:numPr>
          <w:ilvl w:val="1"/>
          <w:numId w:val="12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Domy/biura maklerskie powinny dokonać rozliczenia finansowego z klientami, którzy w wyniku </w:t>
      </w:r>
      <w:r w:rsidR="00C24282">
        <w:rPr>
          <w:rFonts w:ascii="Arial Narrow" w:hAnsi="Arial Narrow" w:cs="Tahoma"/>
          <w:sz w:val="22"/>
          <w:szCs w:val="22"/>
        </w:rPr>
        <w:t>Zaproszenia</w:t>
      </w:r>
      <w:r w:rsidRPr="003D3E9A">
        <w:rPr>
          <w:rFonts w:ascii="Arial Narrow" w:hAnsi="Arial Narrow" w:cs="Tahoma"/>
          <w:sz w:val="22"/>
          <w:szCs w:val="22"/>
        </w:rPr>
        <w:t xml:space="preserve"> dokonali sprzedaży Akcji, najpóźniej w dniu rozliczenia zawartych transakcji. Rozliczenie transakcji, których skutkiem będzie przeniesienie własności Akcji objętych </w:t>
      </w:r>
      <w:r w:rsidR="00C24282">
        <w:rPr>
          <w:rFonts w:ascii="Arial Narrow" w:hAnsi="Arial Narrow" w:cs="Tahoma"/>
          <w:sz w:val="22"/>
          <w:szCs w:val="22"/>
        </w:rPr>
        <w:t>Ofertami Sprzedaży</w:t>
      </w:r>
      <w:r w:rsidR="00C24282" w:rsidRPr="003D3E9A">
        <w:rPr>
          <w:rFonts w:ascii="Arial Narrow" w:hAnsi="Arial Narrow" w:cs="Tahoma"/>
          <w:sz w:val="22"/>
          <w:szCs w:val="22"/>
        </w:rPr>
        <w:t xml:space="preserve"> </w:t>
      </w:r>
      <w:r w:rsidRPr="003D3E9A">
        <w:rPr>
          <w:rFonts w:ascii="Arial Narrow" w:hAnsi="Arial Narrow" w:cs="Tahoma"/>
          <w:sz w:val="22"/>
          <w:szCs w:val="22"/>
        </w:rPr>
        <w:t xml:space="preserve">złożonymi w ramach </w:t>
      </w:r>
      <w:r w:rsidR="00C24282">
        <w:rPr>
          <w:rFonts w:ascii="Arial Narrow" w:hAnsi="Arial Narrow" w:cs="Tahoma"/>
          <w:sz w:val="22"/>
          <w:szCs w:val="22"/>
        </w:rPr>
        <w:t xml:space="preserve">Zaproszenia </w:t>
      </w:r>
      <w:r w:rsidRPr="003D3E9A">
        <w:rPr>
          <w:rFonts w:ascii="Arial Narrow" w:hAnsi="Arial Narrow" w:cs="Tahoma"/>
          <w:sz w:val="22"/>
          <w:szCs w:val="22"/>
        </w:rPr>
        <w:t xml:space="preserve">nastąpi w dniu rozliczenia nabycia Akcji w KDPW. </w:t>
      </w:r>
    </w:p>
    <w:bookmarkEnd w:id="1"/>
    <w:p w14:paraId="45DEF087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14BE567E" w14:textId="77777777" w:rsidR="00110E58" w:rsidRPr="003D3E9A" w:rsidRDefault="00110E58" w:rsidP="00110E58">
      <w:pPr>
        <w:pStyle w:val="Zwykytekst"/>
        <w:numPr>
          <w:ilvl w:val="0"/>
          <w:numId w:val="13"/>
        </w:numPr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OZNACZANIE KODEM LEI</w:t>
      </w:r>
    </w:p>
    <w:p w14:paraId="6508E561" w14:textId="77777777" w:rsidR="00110E58" w:rsidRPr="003D3E9A" w:rsidRDefault="00110E58" w:rsidP="00110E58">
      <w:pPr>
        <w:pStyle w:val="Zwykytekst"/>
        <w:ind w:left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559F6" w14:textId="30886F36" w:rsidR="006A4CA4" w:rsidRDefault="00110E58" w:rsidP="00110E58">
      <w:p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Zgodnie z art. 13 ust. 2 Rozporządzenia delegowanego Komisji (UE) nr 2017/590 z dn. 28 lipca 2016 roku „</w:t>
      </w:r>
      <w:r w:rsidRPr="006A4CA4">
        <w:rPr>
          <w:rFonts w:ascii="Arial Narrow" w:hAnsi="Arial Narrow" w:cs="Tahoma"/>
          <w:i/>
          <w:iCs/>
          <w:sz w:val="22"/>
          <w:szCs w:val="22"/>
        </w:rPr>
        <w:t>firma inwestycyjna nie świadczy usługi, w wyniku której powstaje obowiązek dokonania zgłoszenia transakcji dotyczącego transakcji zawartej w imieniu klienta, który kwalifikuje się do posiadania kodu identyfikatora podmiotu prawnego, przed uzyskaniem kodu identyfikatora podmiotu prawnego od tego klienta</w:t>
      </w:r>
      <w:r w:rsidRPr="003D3E9A">
        <w:rPr>
          <w:rFonts w:ascii="Arial Narrow" w:hAnsi="Arial Narrow" w:cs="Tahoma"/>
          <w:sz w:val="22"/>
          <w:szCs w:val="22"/>
        </w:rPr>
        <w:t xml:space="preserve">.” Wymóg ten uniemożliwia firmie inwestycyjnej zawieranie transakcji w imieniu podmiotów prawnych i na rzecz podmiotów prawnych w przypadku, gdy podmioty te nie posiadają kodu LEI. Tak więc wszystkie podmioty, będące osobami prawnymi, w tym osoby fizyczne prowadzące działalność gospodarczą, które zamierzają odpowiedzieć na </w:t>
      </w:r>
      <w:r w:rsidR="000E4297">
        <w:rPr>
          <w:rFonts w:ascii="Arial Narrow" w:hAnsi="Arial Narrow" w:cs="Tahoma"/>
          <w:sz w:val="22"/>
          <w:szCs w:val="22"/>
        </w:rPr>
        <w:t>Zaproszenie</w:t>
      </w:r>
      <w:r w:rsidRPr="003D3E9A">
        <w:rPr>
          <w:rFonts w:ascii="Arial Narrow" w:hAnsi="Arial Narrow" w:cs="Tahoma"/>
          <w:sz w:val="22"/>
          <w:szCs w:val="22"/>
        </w:rPr>
        <w:t xml:space="preserve"> są zobowiązane do posiadania kodu LEI nadanego przez KDPW. Oznacza to, że każdy wyżej opisany podmiot prawny zaangażowany w transakcje, bez względu na pozycję, jaką zajmuje w całym procesie zawierania i rozliczenia transakcji, jest zobowiązany do posiadania kodu LEI</w:t>
      </w:r>
      <w:r w:rsidR="000E45E2">
        <w:rPr>
          <w:rFonts w:ascii="Arial Narrow" w:hAnsi="Arial Narrow" w:cs="Tahoma"/>
          <w:sz w:val="22"/>
          <w:szCs w:val="22"/>
        </w:rPr>
        <w:t xml:space="preserve">. </w:t>
      </w:r>
    </w:p>
    <w:p w14:paraId="2154B0A1" w14:textId="0653F3C9" w:rsidR="00110E58" w:rsidRPr="003D3E9A" w:rsidRDefault="00110E58" w:rsidP="00110E58">
      <w:p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  <w:u w:val="single"/>
        </w:rPr>
        <w:t xml:space="preserve">Brak takiego kodu spowoduje brak możliwości zawarcia i rozliczenia transakcji w ramach </w:t>
      </w:r>
      <w:r w:rsidR="00C24282">
        <w:rPr>
          <w:rFonts w:ascii="Arial Narrow" w:hAnsi="Arial Narrow" w:cs="Tahoma"/>
          <w:b/>
          <w:sz w:val="22"/>
          <w:szCs w:val="22"/>
          <w:u w:val="single"/>
        </w:rPr>
        <w:t>Zaproszenia</w:t>
      </w:r>
      <w:r w:rsidRPr="003D3E9A">
        <w:rPr>
          <w:rFonts w:ascii="Arial Narrow" w:hAnsi="Arial Narrow" w:cs="Tahoma"/>
          <w:b/>
          <w:sz w:val="22"/>
          <w:szCs w:val="22"/>
          <w:u w:val="single"/>
        </w:rPr>
        <w:t xml:space="preserve"> zgodnie z zasadą „no LEI, no trade”.</w:t>
      </w:r>
    </w:p>
    <w:p w14:paraId="4908C3AA" w14:textId="77777777" w:rsidR="00110E58" w:rsidRPr="003D3E9A" w:rsidRDefault="00110E58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70472CEB" w14:textId="77777777" w:rsidR="00EB4ED6" w:rsidRPr="003D3E9A" w:rsidRDefault="00110E58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EB4ED6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DODATKOWE INFORMACJE</w:t>
      </w:r>
    </w:p>
    <w:p w14:paraId="75931D3E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7D5C6B1" w14:textId="77777777" w:rsidR="00EB4ED6" w:rsidRPr="003D3E9A" w:rsidRDefault="00EB4ED6" w:rsidP="00EB4ED6">
      <w:pPr>
        <w:numPr>
          <w:ilvl w:val="1"/>
          <w:numId w:val="1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TRIGON Dom Maklerski S.A. zwraca się z prośbą do wszystkich biur/domów maklerskich i banków depozytariuszy o przekazanie informacji zawartych w niniejszej procedurze do wszystkich swoich oddziałów i punktów obsługi klienta oraz podmiotów afiliowanych, a także o ustalenie procedur pozwalających na wywiązanie się z określonych warunków zawarcia transakcji.</w:t>
      </w:r>
    </w:p>
    <w:p w14:paraId="4F342ED2" w14:textId="77777777" w:rsidR="00EB4ED6" w:rsidRPr="003D3E9A" w:rsidRDefault="00EB4ED6" w:rsidP="00EB4ED6">
      <w:pPr>
        <w:jc w:val="both"/>
        <w:rPr>
          <w:rFonts w:ascii="Arial Narrow" w:hAnsi="Arial Narrow" w:cs="Tahoma"/>
          <w:sz w:val="22"/>
          <w:szCs w:val="22"/>
        </w:rPr>
      </w:pPr>
    </w:p>
    <w:p w14:paraId="1FF502CF" w14:textId="65B37EAD" w:rsidR="00EB4ED6" w:rsidRPr="003D3E9A" w:rsidRDefault="00EB4ED6" w:rsidP="00EB4ED6">
      <w:pPr>
        <w:numPr>
          <w:ilvl w:val="1"/>
          <w:numId w:val="1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W przypadku wątpliwości dotyczących </w:t>
      </w:r>
      <w:r w:rsidR="000E4297">
        <w:rPr>
          <w:rFonts w:ascii="Arial Narrow" w:hAnsi="Arial Narrow" w:cs="Tahoma"/>
          <w:sz w:val="22"/>
          <w:szCs w:val="22"/>
        </w:rPr>
        <w:t>Zaproszenia</w:t>
      </w:r>
      <w:r w:rsidRPr="003D3E9A">
        <w:rPr>
          <w:rFonts w:ascii="Arial Narrow" w:hAnsi="Arial Narrow" w:cs="Tahoma"/>
          <w:sz w:val="22"/>
          <w:szCs w:val="22"/>
        </w:rPr>
        <w:t xml:space="preserve"> lub niniejszej procedury TRIGON Dom Maklerski S.A. prosi o kontakt z następującymi osobami:</w:t>
      </w:r>
    </w:p>
    <w:p w14:paraId="1C7D75AD" w14:textId="77777777" w:rsidR="00305D0C" w:rsidRPr="003D3E9A" w:rsidRDefault="00305D0C" w:rsidP="000E45E2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44FED8B" w14:textId="191E229A" w:rsidR="00EB4ED6" w:rsidRPr="003D3E9A" w:rsidRDefault="00EB4ED6" w:rsidP="00EB4ED6">
      <w:pPr>
        <w:pStyle w:val="Zwykytekst"/>
        <w:ind w:left="284"/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 xml:space="preserve">Obsługa procesu przyjmowania </w:t>
      </w:r>
      <w:r w:rsidR="000E4297">
        <w:rPr>
          <w:rFonts w:ascii="Arial Narrow" w:hAnsi="Arial Narrow" w:cs="Tahoma"/>
          <w:b/>
          <w:sz w:val="22"/>
          <w:szCs w:val="22"/>
        </w:rPr>
        <w:t>Ofert Sprzedaży</w:t>
      </w:r>
      <w:r w:rsidRPr="003D3E9A">
        <w:rPr>
          <w:rFonts w:ascii="Arial Narrow" w:hAnsi="Arial Narrow" w:cs="Tahoma"/>
          <w:b/>
          <w:sz w:val="22"/>
          <w:szCs w:val="22"/>
        </w:rPr>
        <w:t>, realizacja transakcji:</w:t>
      </w:r>
    </w:p>
    <w:p w14:paraId="55FE6BE1" w14:textId="77777777" w:rsidR="00305D0C" w:rsidRPr="003D3E9A" w:rsidRDefault="00305D0C" w:rsidP="00EB4ED6">
      <w:pPr>
        <w:pStyle w:val="Zwykytekst"/>
        <w:ind w:left="284"/>
        <w:jc w:val="both"/>
        <w:rPr>
          <w:rFonts w:ascii="Arial Narrow" w:hAnsi="Arial Narrow" w:cs="Tahoma"/>
          <w:b/>
          <w:sz w:val="22"/>
          <w:szCs w:val="22"/>
        </w:rPr>
      </w:pPr>
    </w:p>
    <w:p w14:paraId="5BCC7E12" w14:textId="77777777" w:rsidR="00DA2B66" w:rsidRDefault="00DA2B66" w:rsidP="00DA2B66">
      <w:pPr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3D3E9A">
        <w:rPr>
          <w:rFonts w:ascii="Arial Narrow" w:hAnsi="Arial Narrow" w:cs="Tahoma"/>
          <w:b/>
          <w:color w:val="000000"/>
          <w:sz w:val="22"/>
          <w:szCs w:val="22"/>
        </w:rPr>
        <w:t>Maria Krzak</w:t>
      </w:r>
      <w:r w:rsidRPr="003D3E9A">
        <w:rPr>
          <w:rFonts w:ascii="Arial Narrow" w:hAnsi="Arial Narrow" w:cs="Tahoma"/>
          <w:color w:val="000000"/>
          <w:sz w:val="22"/>
          <w:szCs w:val="22"/>
        </w:rPr>
        <w:t xml:space="preserve"> tel. +48 12 629 21 13, </w:t>
      </w:r>
      <w:r>
        <w:rPr>
          <w:rFonts w:ascii="Arial Narrow" w:hAnsi="Arial Narrow" w:cs="Tahoma"/>
          <w:color w:val="000000"/>
          <w:sz w:val="22"/>
          <w:szCs w:val="22"/>
        </w:rPr>
        <w:t>em</w:t>
      </w:r>
      <w:r w:rsidRPr="003D3E9A">
        <w:rPr>
          <w:rFonts w:ascii="Arial Narrow" w:hAnsi="Arial Narrow" w:cs="Tahoma"/>
          <w:color w:val="000000"/>
          <w:sz w:val="22"/>
          <w:szCs w:val="22"/>
        </w:rPr>
        <w:t xml:space="preserve">ail: </w:t>
      </w:r>
      <w:hyperlink r:id="rId9" w:history="1">
        <w:r w:rsidRPr="00D52484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</w:p>
    <w:p w14:paraId="4F0D5659" w14:textId="77777777" w:rsidR="00DA2B66" w:rsidRDefault="00DA2B66" w:rsidP="00DA2B66">
      <w:pPr>
        <w:ind w:left="284"/>
        <w:jc w:val="both"/>
        <w:rPr>
          <w:rStyle w:val="Hipercze"/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color w:val="000000"/>
          <w:sz w:val="22"/>
          <w:szCs w:val="22"/>
        </w:rPr>
        <w:t>Małgorzata Płatek</w:t>
      </w:r>
      <w:r w:rsidRPr="003D3E9A">
        <w:rPr>
          <w:rFonts w:ascii="Arial Narrow" w:hAnsi="Arial Narrow" w:cs="Tahoma"/>
          <w:color w:val="000000"/>
          <w:sz w:val="22"/>
          <w:szCs w:val="22"/>
        </w:rPr>
        <w:t xml:space="preserve"> tel. </w:t>
      </w:r>
      <w:r w:rsidRPr="00CA535C">
        <w:rPr>
          <w:rFonts w:ascii="Arial Narrow" w:hAnsi="Arial Narrow" w:cs="Tahoma"/>
          <w:color w:val="000000"/>
          <w:sz w:val="22"/>
          <w:szCs w:val="22"/>
        </w:rPr>
        <w:t>+48 12 629 21 15</w:t>
      </w:r>
      <w:r w:rsidRPr="00CA535C">
        <w:rPr>
          <w:rFonts w:ascii="Arial Narrow" w:hAnsi="Arial Narrow" w:cs="Tahoma"/>
          <w:b/>
          <w:color w:val="000000"/>
          <w:sz w:val="22"/>
          <w:szCs w:val="22"/>
        </w:rPr>
        <w:t xml:space="preserve">, </w:t>
      </w:r>
      <w:r w:rsidRPr="00CA535C">
        <w:rPr>
          <w:rFonts w:ascii="Arial Narrow" w:hAnsi="Arial Narrow" w:cs="Tahoma"/>
          <w:color w:val="000000"/>
          <w:sz w:val="22"/>
          <w:szCs w:val="22"/>
        </w:rPr>
        <w:t>email:</w:t>
      </w:r>
      <w:r w:rsidRPr="00CA535C">
        <w:rPr>
          <w:rFonts w:ascii="Arial Narrow" w:hAnsi="Arial Narrow" w:cs="Tahoma"/>
          <w:sz w:val="22"/>
          <w:szCs w:val="22"/>
        </w:rPr>
        <w:t xml:space="preserve"> </w:t>
      </w:r>
      <w:hyperlink r:id="rId10" w:history="1">
        <w:r w:rsidRPr="00D52484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</w:p>
    <w:p w14:paraId="4DB67E0E" w14:textId="77777777" w:rsidR="00DA2B66" w:rsidRPr="003E6C2C" w:rsidRDefault="00DA2B66" w:rsidP="00DA2B66">
      <w:pPr>
        <w:ind w:left="284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3E6C2C">
        <w:rPr>
          <w:rFonts w:ascii="Arial Narrow" w:hAnsi="Arial Narrow" w:cs="Tahoma"/>
          <w:b/>
          <w:bCs/>
          <w:sz w:val="22"/>
          <w:szCs w:val="22"/>
          <w:lang w:val="en-GB"/>
        </w:rPr>
        <w:t xml:space="preserve">Renata </w:t>
      </w:r>
      <w:proofErr w:type="spellStart"/>
      <w:r w:rsidRPr="003E6C2C">
        <w:rPr>
          <w:rFonts w:ascii="Arial Narrow" w:hAnsi="Arial Narrow" w:cs="Tahoma"/>
          <w:b/>
          <w:bCs/>
          <w:sz w:val="22"/>
          <w:szCs w:val="22"/>
          <w:lang w:val="en-GB"/>
        </w:rPr>
        <w:t>Bobel</w:t>
      </w:r>
      <w:proofErr w:type="spellEnd"/>
      <w:r w:rsidRPr="003E6C2C">
        <w:rPr>
          <w:rFonts w:ascii="Arial Narrow" w:hAnsi="Arial Narrow" w:cs="Tahoma"/>
          <w:sz w:val="22"/>
          <w:szCs w:val="22"/>
          <w:lang w:val="en-GB"/>
        </w:rPr>
        <w:t xml:space="preserve"> tel. +48 12 629 21 20, email: </w:t>
      </w:r>
      <w:hyperlink r:id="rId11" w:history="1">
        <w:r w:rsidRPr="00DE152A">
          <w:rPr>
            <w:rStyle w:val="Hipercze"/>
            <w:rFonts w:ascii="Arial Narrow" w:hAnsi="Arial Narrow" w:cs="Tahoma"/>
            <w:sz w:val="22"/>
            <w:szCs w:val="22"/>
            <w:lang w:val="en-GB"/>
          </w:rPr>
          <w:t>ir@trigon.pl</w:t>
        </w:r>
      </w:hyperlink>
    </w:p>
    <w:p w14:paraId="6D0EC43D" w14:textId="77777777" w:rsidR="00DA2B66" w:rsidRDefault="00DA2B66" w:rsidP="00DA2B66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3E6C2C">
        <w:rPr>
          <w:rFonts w:ascii="Arial Narrow" w:hAnsi="Arial Narrow" w:cs="Tahoma"/>
          <w:b/>
          <w:bCs/>
          <w:sz w:val="22"/>
          <w:szCs w:val="22"/>
        </w:rPr>
        <w:t>Kinga Piotrowska</w:t>
      </w:r>
      <w:r w:rsidRPr="003E6C2C">
        <w:rPr>
          <w:rFonts w:ascii="Arial Narrow" w:hAnsi="Arial Narrow" w:cs="Tahoma"/>
          <w:sz w:val="22"/>
          <w:szCs w:val="22"/>
        </w:rPr>
        <w:t xml:space="preserve"> tel. +48 691 760 663, email: </w:t>
      </w:r>
      <w:hyperlink r:id="rId12" w:history="1">
        <w:r w:rsidRPr="00DE152A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</w:p>
    <w:p w14:paraId="5D56D4E6" w14:textId="77777777" w:rsidR="00EB4ED6" w:rsidRPr="00CA535C" w:rsidRDefault="00EB4ED6" w:rsidP="00305D0C">
      <w:pPr>
        <w:jc w:val="both"/>
        <w:rPr>
          <w:rFonts w:ascii="Arial Narrow" w:hAnsi="Arial Narrow" w:cs="Tahoma"/>
          <w:sz w:val="22"/>
          <w:szCs w:val="22"/>
        </w:rPr>
      </w:pPr>
    </w:p>
    <w:p w14:paraId="673271F0" w14:textId="77777777" w:rsidR="005F0192" w:rsidRPr="003D3E9A" w:rsidRDefault="005F0192">
      <w:pPr>
        <w:rPr>
          <w:rFonts w:ascii="Arial Narrow" w:hAnsi="Arial Narrow" w:cs="Tahoma"/>
          <w:b/>
          <w:sz w:val="22"/>
          <w:szCs w:val="22"/>
          <w:lang w:val="en-US"/>
        </w:rPr>
      </w:pPr>
      <w:proofErr w:type="spellStart"/>
      <w:r w:rsidRPr="003D3E9A">
        <w:rPr>
          <w:rFonts w:ascii="Arial Narrow" w:hAnsi="Arial Narrow" w:cs="Tahoma"/>
          <w:b/>
          <w:sz w:val="22"/>
          <w:szCs w:val="22"/>
          <w:lang w:val="en-US"/>
        </w:rPr>
        <w:t>Załączniki</w:t>
      </w:r>
      <w:proofErr w:type="spellEnd"/>
      <w:r w:rsidRPr="003D3E9A">
        <w:rPr>
          <w:rFonts w:ascii="Arial Narrow" w:hAnsi="Arial Narrow" w:cs="Tahoma"/>
          <w:b/>
          <w:sz w:val="22"/>
          <w:szCs w:val="22"/>
          <w:lang w:val="en-US"/>
        </w:rPr>
        <w:t>:</w:t>
      </w:r>
    </w:p>
    <w:p w14:paraId="4301E27E" w14:textId="1EB3AD68" w:rsidR="00486079" w:rsidRDefault="00486079" w:rsidP="009149FA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Wzór </w:t>
      </w:r>
      <w:r w:rsidR="000E4297">
        <w:rPr>
          <w:rFonts w:ascii="Arial Narrow" w:hAnsi="Arial Narrow" w:cs="Tahoma"/>
          <w:sz w:val="22"/>
          <w:szCs w:val="22"/>
        </w:rPr>
        <w:t>Oferty Sprzedaży</w:t>
      </w:r>
      <w:r>
        <w:rPr>
          <w:rFonts w:ascii="Arial Narrow" w:hAnsi="Arial Narrow" w:cs="Tahoma"/>
          <w:sz w:val="22"/>
          <w:szCs w:val="22"/>
        </w:rPr>
        <w:t xml:space="preserve"> Akcji,</w:t>
      </w:r>
    </w:p>
    <w:p w14:paraId="0AD01445" w14:textId="6E103BBB" w:rsidR="00486079" w:rsidRDefault="00486079" w:rsidP="00486079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Wzór </w:t>
      </w:r>
      <w:r w:rsidR="000E4297">
        <w:rPr>
          <w:rFonts w:ascii="Arial Narrow" w:hAnsi="Arial Narrow" w:cs="Tahoma"/>
          <w:sz w:val="22"/>
          <w:szCs w:val="22"/>
        </w:rPr>
        <w:t>Oferty Sprzedaży</w:t>
      </w:r>
      <w:r>
        <w:rPr>
          <w:rFonts w:ascii="Arial Narrow" w:hAnsi="Arial Narrow" w:cs="Tahoma"/>
          <w:sz w:val="22"/>
          <w:szCs w:val="22"/>
        </w:rPr>
        <w:t xml:space="preserve"> Akcji – klient banku depozytariusza,</w:t>
      </w:r>
    </w:p>
    <w:p w14:paraId="5C85C1A4" w14:textId="452EC4EC" w:rsidR="00486079" w:rsidRDefault="00486079" w:rsidP="00486079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Wzór blokady Akcji na rachunku papierów wartościowych prowadzonych przez bank depozytariusza,</w:t>
      </w:r>
    </w:p>
    <w:p w14:paraId="3022C04C" w14:textId="79491A3A" w:rsidR="00D407B6" w:rsidRDefault="000D6525" w:rsidP="009149FA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 w:rsidRPr="009149FA">
        <w:rPr>
          <w:rFonts w:ascii="Arial Narrow" w:hAnsi="Arial Narrow" w:cs="Tahoma"/>
          <w:sz w:val="22"/>
          <w:szCs w:val="22"/>
        </w:rPr>
        <w:t xml:space="preserve">Wzór ewidencji </w:t>
      </w:r>
      <w:r w:rsidR="000E4297">
        <w:rPr>
          <w:rFonts w:ascii="Arial Narrow" w:hAnsi="Arial Narrow" w:cs="Tahoma"/>
          <w:sz w:val="22"/>
          <w:szCs w:val="22"/>
        </w:rPr>
        <w:t>Ofert Sprzedaży</w:t>
      </w:r>
      <w:r w:rsidRPr="009149FA">
        <w:rPr>
          <w:rFonts w:ascii="Arial Narrow" w:hAnsi="Arial Narrow" w:cs="Tahoma"/>
          <w:sz w:val="22"/>
          <w:szCs w:val="22"/>
        </w:rPr>
        <w:t xml:space="preserve"> Akcji</w:t>
      </w:r>
      <w:r w:rsidR="00D407B6">
        <w:rPr>
          <w:rFonts w:ascii="Arial Narrow" w:hAnsi="Arial Narrow" w:cs="Tahoma"/>
          <w:sz w:val="22"/>
          <w:szCs w:val="22"/>
        </w:rPr>
        <w:t xml:space="preserve"> – raport dzienny,</w:t>
      </w:r>
    </w:p>
    <w:p w14:paraId="6F3FB564" w14:textId="043ED39E" w:rsidR="00EB4ED6" w:rsidRPr="00D407B6" w:rsidRDefault="00D407B6" w:rsidP="00D407B6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 w:rsidRPr="009149FA">
        <w:rPr>
          <w:rFonts w:ascii="Arial Narrow" w:hAnsi="Arial Narrow" w:cs="Tahoma"/>
          <w:sz w:val="22"/>
          <w:szCs w:val="22"/>
        </w:rPr>
        <w:t xml:space="preserve">Wzór ewidencji </w:t>
      </w:r>
      <w:r>
        <w:rPr>
          <w:rFonts w:ascii="Arial Narrow" w:hAnsi="Arial Narrow" w:cs="Tahoma"/>
          <w:sz w:val="22"/>
          <w:szCs w:val="22"/>
        </w:rPr>
        <w:t>Ofert Sprzedaży</w:t>
      </w:r>
      <w:r w:rsidRPr="009149FA">
        <w:rPr>
          <w:rFonts w:ascii="Arial Narrow" w:hAnsi="Arial Narrow" w:cs="Tahoma"/>
          <w:sz w:val="22"/>
          <w:szCs w:val="22"/>
        </w:rPr>
        <w:t xml:space="preserve"> Akcji</w:t>
      </w:r>
      <w:r>
        <w:rPr>
          <w:rFonts w:ascii="Arial Narrow" w:hAnsi="Arial Narrow" w:cs="Tahoma"/>
          <w:sz w:val="22"/>
          <w:szCs w:val="22"/>
        </w:rPr>
        <w:t xml:space="preserve"> – raport końcowy</w:t>
      </w:r>
      <w:r w:rsidR="00EB4ED6" w:rsidRPr="00D407B6">
        <w:rPr>
          <w:rFonts w:ascii="Arial Narrow" w:hAnsi="Arial Narrow" w:cs="Tahoma"/>
          <w:sz w:val="22"/>
          <w:szCs w:val="22"/>
        </w:rPr>
        <w:t>,</w:t>
      </w:r>
    </w:p>
    <w:p w14:paraId="537D972F" w14:textId="12769F43" w:rsidR="00331AE5" w:rsidRDefault="00EB4ED6" w:rsidP="00B835D9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 w:rsidRPr="009149FA">
        <w:rPr>
          <w:rFonts w:ascii="Arial Narrow" w:hAnsi="Arial Narrow" w:cs="Tahoma"/>
          <w:sz w:val="22"/>
          <w:szCs w:val="22"/>
        </w:rPr>
        <w:t xml:space="preserve">Lista </w:t>
      </w:r>
      <w:r w:rsidR="000E4297">
        <w:rPr>
          <w:rFonts w:ascii="Arial Narrow" w:hAnsi="Arial Narrow" w:cs="Tahoma"/>
          <w:sz w:val="22"/>
          <w:szCs w:val="22"/>
        </w:rPr>
        <w:t>Ofert Sprzedaży Akcji</w:t>
      </w:r>
      <w:r w:rsidR="000D6525" w:rsidRPr="009149FA">
        <w:rPr>
          <w:rFonts w:ascii="Arial Narrow" w:hAnsi="Arial Narrow" w:cs="Tahoma"/>
          <w:sz w:val="22"/>
          <w:szCs w:val="22"/>
        </w:rPr>
        <w:t>, które</w:t>
      </w:r>
      <w:r w:rsidRPr="009149FA">
        <w:rPr>
          <w:rFonts w:ascii="Arial Narrow" w:hAnsi="Arial Narrow" w:cs="Tahoma"/>
          <w:sz w:val="22"/>
          <w:szCs w:val="22"/>
        </w:rPr>
        <w:t xml:space="preserve"> zostaną zrealizowane</w:t>
      </w:r>
      <w:bookmarkStart w:id="2" w:name="_Hlk64022612"/>
      <w:r w:rsidR="00CA535C">
        <w:rPr>
          <w:rFonts w:ascii="Arial Narrow" w:hAnsi="Arial Narrow" w:cs="Tahoma"/>
          <w:sz w:val="22"/>
          <w:szCs w:val="22"/>
        </w:rPr>
        <w:t>.</w:t>
      </w:r>
    </w:p>
    <w:bookmarkEnd w:id="2"/>
    <w:p w14:paraId="28BDB1F7" w14:textId="14519980" w:rsidR="004E0D39" w:rsidRDefault="004E0D39">
      <w:pPr>
        <w:rPr>
          <w:rFonts w:ascii="Arial Narrow" w:hAnsi="Arial Narrow" w:cs="Tahoma"/>
          <w:sz w:val="22"/>
          <w:szCs w:val="22"/>
        </w:rPr>
      </w:pPr>
    </w:p>
    <w:sectPr w:rsidR="004E0D39" w:rsidSect="00C00B0E">
      <w:headerReference w:type="default" r:id="rId13"/>
      <w:type w:val="oddPage"/>
      <w:pgSz w:w="11907" w:h="16840"/>
      <w:pgMar w:top="680" w:right="1418" w:bottom="1134" w:left="1418" w:header="425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6233" w14:textId="77777777" w:rsidR="00673F39" w:rsidRDefault="00673F39">
      <w:r>
        <w:separator/>
      </w:r>
    </w:p>
  </w:endnote>
  <w:endnote w:type="continuationSeparator" w:id="0">
    <w:p w14:paraId="1961203A" w14:textId="77777777" w:rsidR="00673F39" w:rsidRDefault="0067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B45D" w14:textId="77777777" w:rsidR="00673F39" w:rsidRDefault="00673F39">
      <w:r>
        <w:separator/>
      </w:r>
    </w:p>
  </w:footnote>
  <w:footnote w:type="continuationSeparator" w:id="0">
    <w:p w14:paraId="39ACCED0" w14:textId="77777777" w:rsidR="00673F39" w:rsidRDefault="0067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27F2" w14:textId="00617B98" w:rsidR="00D02C75" w:rsidRDefault="00590D7B" w:rsidP="00D02C75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r w:rsidRPr="00590D7B">
      <w:rPr>
        <w:rFonts w:ascii="Arial Narrow" w:hAnsi="Arial Narrow" w:cs="TimesNewRoman,Bold"/>
        <w:color w:val="000000"/>
        <w:sz w:val="16"/>
        <w:szCs w:val="16"/>
      </w:rPr>
      <w:t xml:space="preserve">MERCATOR MEDICAL </w:t>
    </w:r>
    <w:r w:rsidR="00D859DF" w:rsidRPr="00D859DF">
      <w:rPr>
        <w:rFonts w:ascii="Arial Narrow" w:hAnsi="Arial Narrow" w:cs="TimesNewRoman,Bold"/>
        <w:color w:val="000000"/>
        <w:sz w:val="16"/>
        <w:szCs w:val="16"/>
      </w:rPr>
      <w:t>S.A.</w:t>
    </w:r>
    <w:r w:rsidR="00D02C75">
      <w:rPr>
        <w:rFonts w:ascii="Arial Narrow" w:hAnsi="Arial Narrow"/>
        <w:i/>
        <w:sz w:val="16"/>
      </w:rPr>
      <w:t xml:space="preserve">                                                                                                                             </w:t>
    </w:r>
    <w:r w:rsidR="00D02C75">
      <w:rPr>
        <w:rFonts w:ascii="Arial Narrow" w:hAnsi="Arial Narrow"/>
        <w:i/>
        <w:sz w:val="16"/>
      </w:rPr>
      <w:tab/>
      <w:t>TRIGON Dom Maklerski S.A.</w:t>
    </w:r>
  </w:p>
  <w:p w14:paraId="3FF85B43" w14:textId="77777777" w:rsidR="00D02C75" w:rsidRDefault="00D02C75" w:rsidP="00D02C75">
    <w:pPr>
      <w:pStyle w:val="Nagwek"/>
    </w:pPr>
  </w:p>
  <w:p w14:paraId="6F25A7F1" w14:textId="77777777" w:rsidR="00D02C75" w:rsidRDefault="00D02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A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293E12"/>
    <w:multiLevelType w:val="hybridMultilevel"/>
    <w:tmpl w:val="31FA9812"/>
    <w:lvl w:ilvl="0" w:tplc="D1E85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8668C35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0271"/>
    <w:multiLevelType w:val="singleLevel"/>
    <w:tmpl w:val="0BF881A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45C53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8C7758"/>
    <w:multiLevelType w:val="hybridMultilevel"/>
    <w:tmpl w:val="A142DBDA"/>
    <w:lvl w:ilvl="0" w:tplc="F572D2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CEC"/>
    <w:multiLevelType w:val="multilevel"/>
    <w:tmpl w:val="677ECF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EB82B51"/>
    <w:multiLevelType w:val="hybridMultilevel"/>
    <w:tmpl w:val="E5128A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34478D"/>
    <w:multiLevelType w:val="hybridMultilevel"/>
    <w:tmpl w:val="72EE93DA"/>
    <w:lvl w:ilvl="0" w:tplc="2A78B3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4A04FD"/>
    <w:multiLevelType w:val="hybridMultilevel"/>
    <w:tmpl w:val="191CB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32AB"/>
    <w:multiLevelType w:val="multilevel"/>
    <w:tmpl w:val="BB3ED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D10F57"/>
    <w:multiLevelType w:val="hybridMultilevel"/>
    <w:tmpl w:val="520C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C3B9B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1152"/>
    <w:multiLevelType w:val="hybridMultilevel"/>
    <w:tmpl w:val="7850F7AA"/>
    <w:lvl w:ilvl="0" w:tplc="59A0C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31668"/>
    <w:multiLevelType w:val="hybridMultilevel"/>
    <w:tmpl w:val="AC34E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816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9A5E12"/>
    <w:multiLevelType w:val="singleLevel"/>
    <w:tmpl w:val="63F0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4DC37AFD"/>
    <w:multiLevelType w:val="singleLevel"/>
    <w:tmpl w:val="40F6A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FD86868"/>
    <w:multiLevelType w:val="singleLevel"/>
    <w:tmpl w:val="8CE016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0" w15:restartNumberingAfterBreak="0">
    <w:nsid w:val="50BD21A0"/>
    <w:multiLevelType w:val="hybridMultilevel"/>
    <w:tmpl w:val="42EA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B07C6"/>
    <w:multiLevelType w:val="multilevel"/>
    <w:tmpl w:val="BB3ED9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3F5E5C"/>
    <w:multiLevelType w:val="singleLevel"/>
    <w:tmpl w:val="63F0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 w15:restartNumberingAfterBreak="0">
    <w:nsid w:val="62C271E6"/>
    <w:multiLevelType w:val="hybridMultilevel"/>
    <w:tmpl w:val="93C8CF80"/>
    <w:lvl w:ilvl="0" w:tplc="59A0C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1885"/>
    <w:multiLevelType w:val="hybridMultilevel"/>
    <w:tmpl w:val="2FAEA54A"/>
    <w:lvl w:ilvl="0" w:tplc="2A78B3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765EA7"/>
    <w:multiLevelType w:val="singleLevel"/>
    <w:tmpl w:val="63F0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 w15:restartNumberingAfterBreak="0">
    <w:nsid w:val="6822275B"/>
    <w:multiLevelType w:val="singleLevel"/>
    <w:tmpl w:val="07D60C3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920E41"/>
    <w:multiLevelType w:val="hybridMultilevel"/>
    <w:tmpl w:val="92A08EB2"/>
    <w:lvl w:ilvl="0" w:tplc="BA6C59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17F88"/>
    <w:multiLevelType w:val="singleLevel"/>
    <w:tmpl w:val="0FFEC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3363F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3914676"/>
    <w:multiLevelType w:val="hybridMultilevel"/>
    <w:tmpl w:val="93C8CF80"/>
    <w:lvl w:ilvl="0" w:tplc="59A0C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7762"/>
    <w:multiLevelType w:val="singleLevel"/>
    <w:tmpl w:val="8CE016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32" w15:restartNumberingAfterBreak="0">
    <w:nsid w:val="7FC85F5D"/>
    <w:multiLevelType w:val="hybridMultilevel"/>
    <w:tmpl w:val="A4C46B36"/>
    <w:lvl w:ilvl="0" w:tplc="D1E85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4586182">
    <w:abstractNumId w:val="31"/>
  </w:num>
  <w:num w:numId="2" w16cid:durableId="754404576">
    <w:abstractNumId w:val="3"/>
  </w:num>
  <w:num w:numId="3" w16cid:durableId="1003243495">
    <w:abstractNumId w:val="26"/>
  </w:num>
  <w:num w:numId="4" w16cid:durableId="1950159153">
    <w:abstractNumId w:val="28"/>
  </w:num>
  <w:num w:numId="5" w16cid:durableId="2104566833">
    <w:abstractNumId w:val="25"/>
  </w:num>
  <w:num w:numId="6" w16cid:durableId="1884710128">
    <w:abstractNumId w:val="17"/>
  </w:num>
  <w:num w:numId="7" w16cid:durableId="786506736">
    <w:abstractNumId w:val="16"/>
  </w:num>
  <w:num w:numId="8" w16cid:durableId="2041276962">
    <w:abstractNumId w:val="29"/>
  </w:num>
  <w:num w:numId="9" w16cid:durableId="404957618">
    <w:abstractNumId w:val="0"/>
  </w:num>
  <w:num w:numId="10" w16cid:durableId="626010884">
    <w:abstractNumId w:val="18"/>
  </w:num>
  <w:num w:numId="11" w16cid:durableId="186871182">
    <w:abstractNumId w:val="21"/>
  </w:num>
  <w:num w:numId="12" w16cid:durableId="293294969">
    <w:abstractNumId w:val="11"/>
  </w:num>
  <w:num w:numId="13" w16cid:durableId="1309361745">
    <w:abstractNumId w:val="7"/>
  </w:num>
  <w:num w:numId="14" w16cid:durableId="520776461">
    <w:abstractNumId w:val="19"/>
  </w:num>
  <w:num w:numId="15" w16cid:durableId="1182401783">
    <w:abstractNumId w:val="24"/>
  </w:num>
  <w:num w:numId="16" w16cid:durableId="1118181852">
    <w:abstractNumId w:val="9"/>
  </w:num>
  <w:num w:numId="17" w16cid:durableId="1109008956">
    <w:abstractNumId w:val="32"/>
  </w:num>
  <w:num w:numId="18" w16cid:durableId="2031298200">
    <w:abstractNumId w:val="1"/>
  </w:num>
  <w:num w:numId="19" w16cid:durableId="550575932">
    <w:abstractNumId w:val="22"/>
  </w:num>
  <w:num w:numId="20" w16cid:durableId="80413898">
    <w:abstractNumId w:val="20"/>
  </w:num>
  <w:num w:numId="21" w16cid:durableId="1446346489">
    <w:abstractNumId w:val="23"/>
  </w:num>
  <w:num w:numId="22" w16cid:durableId="1453474478">
    <w:abstractNumId w:val="14"/>
  </w:num>
  <w:num w:numId="23" w16cid:durableId="1862664862">
    <w:abstractNumId w:val="6"/>
  </w:num>
  <w:num w:numId="24" w16cid:durableId="1069689271">
    <w:abstractNumId w:val="30"/>
  </w:num>
  <w:num w:numId="25" w16cid:durableId="976371723">
    <w:abstractNumId w:val="8"/>
  </w:num>
  <w:num w:numId="26" w16cid:durableId="999314576">
    <w:abstractNumId w:val="15"/>
  </w:num>
  <w:num w:numId="27" w16cid:durableId="742264568">
    <w:abstractNumId w:val="12"/>
  </w:num>
  <w:num w:numId="28" w16cid:durableId="902980820">
    <w:abstractNumId w:val="27"/>
  </w:num>
  <w:num w:numId="29" w16cid:durableId="526527348">
    <w:abstractNumId w:val="5"/>
  </w:num>
  <w:num w:numId="30" w16cid:durableId="404767873">
    <w:abstractNumId w:val="2"/>
  </w:num>
  <w:num w:numId="31" w16cid:durableId="462768680">
    <w:abstractNumId w:val="10"/>
  </w:num>
  <w:num w:numId="32" w16cid:durableId="7609844">
    <w:abstractNumId w:val="4"/>
  </w:num>
  <w:num w:numId="33" w16cid:durableId="76743414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9E"/>
    <w:rsid w:val="00011098"/>
    <w:rsid w:val="00031EA9"/>
    <w:rsid w:val="0003733E"/>
    <w:rsid w:val="00040319"/>
    <w:rsid w:val="00046CBB"/>
    <w:rsid w:val="00055D87"/>
    <w:rsid w:val="0006022D"/>
    <w:rsid w:val="00060C60"/>
    <w:rsid w:val="00067DF8"/>
    <w:rsid w:val="00090BF2"/>
    <w:rsid w:val="00091608"/>
    <w:rsid w:val="0009300E"/>
    <w:rsid w:val="00094EFE"/>
    <w:rsid w:val="000B5908"/>
    <w:rsid w:val="000B7F28"/>
    <w:rsid w:val="000C0A6D"/>
    <w:rsid w:val="000C0E2D"/>
    <w:rsid w:val="000C5E51"/>
    <w:rsid w:val="000C7F25"/>
    <w:rsid w:val="000D08C8"/>
    <w:rsid w:val="000D3F24"/>
    <w:rsid w:val="000D6525"/>
    <w:rsid w:val="000D792E"/>
    <w:rsid w:val="000E1CC6"/>
    <w:rsid w:val="000E24CF"/>
    <w:rsid w:val="000E4297"/>
    <w:rsid w:val="000E45E2"/>
    <w:rsid w:val="000E6C92"/>
    <w:rsid w:val="000F0FA9"/>
    <w:rsid w:val="000F1CFD"/>
    <w:rsid w:val="000F2FC4"/>
    <w:rsid w:val="000F38D3"/>
    <w:rsid w:val="000F46A9"/>
    <w:rsid w:val="000F7149"/>
    <w:rsid w:val="00103B3E"/>
    <w:rsid w:val="001101B4"/>
    <w:rsid w:val="00110E58"/>
    <w:rsid w:val="001141D6"/>
    <w:rsid w:val="00125493"/>
    <w:rsid w:val="0012663B"/>
    <w:rsid w:val="001500DB"/>
    <w:rsid w:val="001521C7"/>
    <w:rsid w:val="001548BF"/>
    <w:rsid w:val="001578DF"/>
    <w:rsid w:val="0017524C"/>
    <w:rsid w:val="0018262A"/>
    <w:rsid w:val="00182A8B"/>
    <w:rsid w:val="00184D11"/>
    <w:rsid w:val="001A04A1"/>
    <w:rsid w:val="001A5BCB"/>
    <w:rsid w:val="001A7B79"/>
    <w:rsid w:val="001B0C3A"/>
    <w:rsid w:val="001B1AB1"/>
    <w:rsid w:val="001B1CB1"/>
    <w:rsid w:val="001B3898"/>
    <w:rsid w:val="001B424F"/>
    <w:rsid w:val="001C0459"/>
    <w:rsid w:val="001C0D33"/>
    <w:rsid w:val="001C1482"/>
    <w:rsid w:val="001C718B"/>
    <w:rsid w:val="001D09D1"/>
    <w:rsid w:val="001D2B0A"/>
    <w:rsid w:val="001D3B30"/>
    <w:rsid w:val="001D6DF8"/>
    <w:rsid w:val="001E19AE"/>
    <w:rsid w:val="001E612D"/>
    <w:rsid w:val="001E7477"/>
    <w:rsid w:val="001F4997"/>
    <w:rsid w:val="00201979"/>
    <w:rsid w:val="00204D75"/>
    <w:rsid w:val="00204FC9"/>
    <w:rsid w:val="00206ABA"/>
    <w:rsid w:val="002110D1"/>
    <w:rsid w:val="0021148A"/>
    <w:rsid w:val="0021556C"/>
    <w:rsid w:val="00222E34"/>
    <w:rsid w:val="00223EBB"/>
    <w:rsid w:val="0023002F"/>
    <w:rsid w:val="00240A66"/>
    <w:rsid w:val="00243692"/>
    <w:rsid w:val="00247AEF"/>
    <w:rsid w:val="00252C3A"/>
    <w:rsid w:val="002575DD"/>
    <w:rsid w:val="00262063"/>
    <w:rsid w:val="00265DB3"/>
    <w:rsid w:val="0026781B"/>
    <w:rsid w:val="00267A9B"/>
    <w:rsid w:val="00274AF7"/>
    <w:rsid w:val="00285A3D"/>
    <w:rsid w:val="00294C47"/>
    <w:rsid w:val="0029613F"/>
    <w:rsid w:val="00297C2B"/>
    <w:rsid w:val="002A01F0"/>
    <w:rsid w:val="002A1B07"/>
    <w:rsid w:val="002A2D3C"/>
    <w:rsid w:val="002B3776"/>
    <w:rsid w:val="002B4726"/>
    <w:rsid w:val="002C2F98"/>
    <w:rsid w:val="002C4B72"/>
    <w:rsid w:val="002C4F11"/>
    <w:rsid w:val="002D5493"/>
    <w:rsid w:val="002D60A0"/>
    <w:rsid w:val="002E15A8"/>
    <w:rsid w:val="002E534F"/>
    <w:rsid w:val="002F7DBC"/>
    <w:rsid w:val="00300E68"/>
    <w:rsid w:val="00305D0C"/>
    <w:rsid w:val="00310AC3"/>
    <w:rsid w:val="00311AF2"/>
    <w:rsid w:val="00313E7B"/>
    <w:rsid w:val="00315B5A"/>
    <w:rsid w:val="00326B2D"/>
    <w:rsid w:val="00331AE5"/>
    <w:rsid w:val="003446CE"/>
    <w:rsid w:val="00352148"/>
    <w:rsid w:val="00356677"/>
    <w:rsid w:val="0035771D"/>
    <w:rsid w:val="00374663"/>
    <w:rsid w:val="00374E52"/>
    <w:rsid w:val="00375097"/>
    <w:rsid w:val="003838A7"/>
    <w:rsid w:val="003845A9"/>
    <w:rsid w:val="003A3B0D"/>
    <w:rsid w:val="003A5674"/>
    <w:rsid w:val="003A643D"/>
    <w:rsid w:val="003B3547"/>
    <w:rsid w:val="003B525F"/>
    <w:rsid w:val="003B7BF2"/>
    <w:rsid w:val="003C34B1"/>
    <w:rsid w:val="003C7231"/>
    <w:rsid w:val="003D049C"/>
    <w:rsid w:val="003D3E9A"/>
    <w:rsid w:val="003E7683"/>
    <w:rsid w:val="00401E7B"/>
    <w:rsid w:val="00402069"/>
    <w:rsid w:val="00407E0A"/>
    <w:rsid w:val="0042211C"/>
    <w:rsid w:val="00422DC1"/>
    <w:rsid w:val="00424B16"/>
    <w:rsid w:val="00424C60"/>
    <w:rsid w:val="00426743"/>
    <w:rsid w:val="0043352A"/>
    <w:rsid w:val="0044155B"/>
    <w:rsid w:val="00444132"/>
    <w:rsid w:val="004445C9"/>
    <w:rsid w:val="00447A70"/>
    <w:rsid w:val="0045683B"/>
    <w:rsid w:val="004604F2"/>
    <w:rsid w:val="004640C1"/>
    <w:rsid w:val="004658AE"/>
    <w:rsid w:val="00466234"/>
    <w:rsid w:val="00467648"/>
    <w:rsid w:val="004802DC"/>
    <w:rsid w:val="00483635"/>
    <w:rsid w:val="00486079"/>
    <w:rsid w:val="004934C6"/>
    <w:rsid w:val="004A0A13"/>
    <w:rsid w:val="004A0E9B"/>
    <w:rsid w:val="004A3B0C"/>
    <w:rsid w:val="004A4441"/>
    <w:rsid w:val="004A7863"/>
    <w:rsid w:val="004A7A24"/>
    <w:rsid w:val="004C17A5"/>
    <w:rsid w:val="004C1B65"/>
    <w:rsid w:val="004E0D39"/>
    <w:rsid w:val="004E1DE8"/>
    <w:rsid w:val="004E2CCD"/>
    <w:rsid w:val="004F47DC"/>
    <w:rsid w:val="00501643"/>
    <w:rsid w:val="00503D65"/>
    <w:rsid w:val="005061D7"/>
    <w:rsid w:val="00506BCA"/>
    <w:rsid w:val="00514101"/>
    <w:rsid w:val="0052040D"/>
    <w:rsid w:val="005205B6"/>
    <w:rsid w:val="005267E2"/>
    <w:rsid w:val="00530533"/>
    <w:rsid w:val="00535D05"/>
    <w:rsid w:val="00545E68"/>
    <w:rsid w:val="005506BE"/>
    <w:rsid w:val="0056408B"/>
    <w:rsid w:val="00564746"/>
    <w:rsid w:val="005709AA"/>
    <w:rsid w:val="00572587"/>
    <w:rsid w:val="00573D5B"/>
    <w:rsid w:val="00575228"/>
    <w:rsid w:val="00580106"/>
    <w:rsid w:val="00590D7B"/>
    <w:rsid w:val="0059302C"/>
    <w:rsid w:val="0059669D"/>
    <w:rsid w:val="005A6D9F"/>
    <w:rsid w:val="005B26CD"/>
    <w:rsid w:val="005B5431"/>
    <w:rsid w:val="005C1F48"/>
    <w:rsid w:val="005D08AF"/>
    <w:rsid w:val="005D4A2E"/>
    <w:rsid w:val="005D518E"/>
    <w:rsid w:val="005D741D"/>
    <w:rsid w:val="005E2195"/>
    <w:rsid w:val="005F0192"/>
    <w:rsid w:val="005F0C64"/>
    <w:rsid w:val="005F113C"/>
    <w:rsid w:val="005F2BC7"/>
    <w:rsid w:val="005F30C6"/>
    <w:rsid w:val="006103E4"/>
    <w:rsid w:val="00613488"/>
    <w:rsid w:val="00621801"/>
    <w:rsid w:val="00622502"/>
    <w:rsid w:val="006247A7"/>
    <w:rsid w:val="006304AE"/>
    <w:rsid w:val="00660C26"/>
    <w:rsid w:val="00664A51"/>
    <w:rsid w:val="00672C49"/>
    <w:rsid w:val="00673F39"/>
    <w:rsid w:val="00674C14"/>
    <w:rsid w:val="006750D7"/>
    <w:rsid w:val="006975A5"/>
    <w:rsid w:val="006A1686"/>
    <w:rsid w:val="006A4CA4"/>
    <w:rsid w:val="006A6D29"/>
    <w:rsid w:val="006B06C4"/>
    <w:rsid w:val="006B0A5B"/>
    <w:rsid w:val="006B1CC6"/>
    <w:rsid w:val="006C546F"/>
    <w:rsid w:val="006D0FBF"/>
    <w:rsid w:val="006D493A"/>
    <w:rsid w:val="006E4CF1"/>
    <w:rsid w:val="006F26AE"/>
    <w:rsid w:val="006F606B"/>
    <w:rsid w:val="007039AD"/>
    <w:rsid w:val="00710F1B"/>
    <w:rsid w:val="00723A7E"/>
    <w:rsid w:val="00723D6F"/>
    <w:rsid w:val="00725705"/>
    <w:rsid w:val="00726A3F"/>
    <w:rsid w:val="0073506E"/>
    <w:rsid w:val="00737C3A"/>
    <w:rsid w:val="00741778"/>
    <w:rsid w:val="00742FD8"/>
    <w:rsid w:val="00753095"/>
    <w:rsid w:val="00753E1E"/>
    <w:rsid w:val="00755A35"/>
    <w:rsid w:val="007574E7"/>
    <w:rsid w:val="0077290E"/>
    <w:rsid w:val="00775B75"/>
    <w:rsid w:val="00776D06"/>
    <w:rsid w:val="00781C9C"/>
    <w:rsid w:val="0078259F"/>
    <w:rsid w:val="00793ECB"/>
    <w:rsid w:val="007A1B01"/>
    <w:rsid w:val="007A7280"/>
    <w:rsid w:val="007B49A0"/>
    <w:rsid w:val="007C5147"/>
    <w:rsid w:val="007C5C86"/>
    <w:rsid w:val="007C5C8E"/>
    <w:rsid w:val="007D0E94"/>
    <w:rsid w:val="007D1BB6"/>
    <w:rsid w:val="007D3E3E"/>
    <w:rsid w:val="007E1B08"/>
    <w:rsid w:val="007F2875"/>
    <w:rsid w:val="007F305E"/>
    <w:rsid w:val="008054FD"/>
    <w:rsid w:val="00805FC9"/>
    <w:rsid w:val="00812600"/>
    <w:rsid w:val="00817A61"/>
    <w:rsid w:val="00823DA0"/>
    <w:rsid w:val="00824833"/>
    <w:rsid w:val="00826403"/>
    <w:rsid w:val="008311EF"/>
    <w:rsid w:val="008334C6"/>
    <w:rsid w:val="00840F66"/>
    <w:rsid w:val="008425F2"/>
    <w:rsid w:val="008427DC"/>
    <w:rsid w:val="008434A0"/>
    <w:rsid w:val="0086004D"/>
    <w:rsid w:val="00867712"/>
    <w:rsid w:val="00872441"/>
    <w:rsid w:val="0087546F"/>
    <w:rsid w:val="008818F0"/>
    <w:rsid w:val="00884FF5"/>
    <w:rsid w:val="00887028"/>
    <w:rsid w:val="00894ADE"/>
    <w:rsid w:val="00894B7D"/>
    <w:rsid w:val="0089620C"/>
    <w:rsid w:val="00897239"/>
    <w:rsid w:val="008B2CCE"/>
    <w:rsid w:val="008B6995"/>
    <w:rsid w:val="008C0AE1"/>
    <w:rsid w:val="008C3F7E"/>
    <w:rsid w:val="008D35A0"/>
    <w:rsid w:val="008D6DD1"/>
    <w:rsid w:val="008D7903"/>
    <w:rsid w:val="008E0103"/>
    <w:rsid w:val="008E0189"/>
    <w:rsid w:val="008E0FF5"/>
    <w:rsid w:val="008E2A64"/>
    <w:rsid w:val="008E3C0B"/>
    <w:rsid w:val="008E522A"/>
    <w:rsid w:val="008E6740"/>
    <w:rsid w:val="008F1556"/>
    <w:rsid w:val="008F2CE4"/>
    <w:rsid w:val="008F43EB"/>
    <w:rsid w:val="00901270"/>
    <w:rsid w:val="00904BB1"/>
    <w:rsid w:val="00913BE7"/>
    <w:rsid w:val="009149FA"/>
    <w:rsid w:val="00922086"/>
    <w:rsid w:val="00927366"/>
    <w:rsid w:val="0093116C"/>
    <w:rsid w:val="009325DE"/>
    <w:rsid w:val="009516B8"/>
    <w:rsid w:val="00953303"/>
    <w:rsid w:val="00953BF7"/>
    <w:rsid w:val="00955293"/>
    <w:rsid w:val="00962467"/>
    <w:rsid w:val="00974A72"/>
    <w:rsid w:val="009920F2"/>
    <w:rsid w:val="00992548"/>
    <w:rsid w:val="009970A6"/>
    <w:rsid w:val="009A360E"/>
    <w:rsid w:val="009B07DA"/>
    <w:rsid w:val="009B1EEC"/>
    <w:rsid w:val="009B23B6"/>
    <w:rsid w:val="009B6A18"/>
    <w:rsid w:val="009C3030"/>
    <w:rsid w:val="009D5B97"/>
    <w:rsid w:val="009E10F4"/>
    <w:rsid w:val="009E3755"/>
    <w:rsid w:val="009E45E2"/>
    <w:rsid w:val="009F17FF"/>
    <w:rsid w:val="009F2AEF"/>
    <w:rsid w:val="009F7141"/>
    <w:rsid w:val="009F7524"/>
    <w:rsid w:val="00A032C4"/>
    <w:rsid w:val="00A04E94"/>
    <w:rsid w:val="00A065C8"/>
    <w:rsid w:val="00A10C4C"/>
    <w:rsid w:val="00A114EE"/>
    <w:rsid w:val="00A20F7B"/>
    <w:rsid w:val="00A24374"/>
    <w:rsid w:val="00A24A89"/>
    <w:rsid w:val="00A35C8C"/>
    <w:rsid w:val="00A41FAE"/>
    <w:rsid w:val="00A47A52"/>
    <w:rsid w:val="00A5717D"/>
    <w:rsid w:val="00A62978"/>
    <w:rsid w:val="00A67D93"/>
    <w:rsid w:val="00A70CBE"/>
    <w:rsid w:val="00A73A9F"/>
    <w:rsid w:val="00A80F34"/>
    <w:rsid w:val="00AA60A1"/>
    <w:rsid w:val="00AB2598"/>
    <w:rsid w:val="00AB462E"/>
    <w:rsid w:val="00AB53EF"/>
    <w:rsid w:val="00AC5AC9"/>
    <w:rsid w:val="00AF23FB"/>
    <w:rsid w:val="00B01B1F"/>
    <w:rsid w:val="00B058F0"/>
    <w:rsid w:val="00B05EA3"/>
    <w:rsid w:val="00B1198F"/>
    <w:rsid w:val="00B20049"/>
    <w:rsid w:val="00B21E43"/>
    <w:rsid w:val="00B23880"/>
    <w:rsid w:val="00B2495F"/>
    <w:rsid w:val="00B2512E"/>
    <w:rsid w:val="00B2644F"/>
    <w:rsid w:val="00B3023E"/>
    <w:rsid w:val="00B30472"/>
    <w:rsid w:val="00B35AA9"/>
    <w:rsid w:val="00B35E88"/>
    <w:rsid w:val="00B36CB4"/>
    <w:rsid w:val="00B40BF6"/>
    <w:rsid w:val="00B54A75"/>
    <w:rsid w:val="00B5579E"/>
    <w:rsid w:val="00B721F8"/>
    <w:rsid w:val="00B77389"/>
    <w:rsid w:val="00B835D9"/>
    <w:rsid w:val="00B83F29"/>
    <w:rsid w:val="00B85ECE"/>
    <w:rsid w:val="00B9102B"/>
    <w:rsid w:val="00B917AD"/>
    <w:rsid w:val="00BA3A1E"/>
    <w:rsid w:val="00BA3A73"/>
    <w:rsid w:val="00BB4904"/>
    <w:rsid w:val="00BB6DE1"/>
    <w:rsid w:val="00BC23DD"/>
    <w:rsid w:val="00BD4390"/>
    <w:rsid w:val="00BE1EC0"/>
    <w:rsid w:val="00BE698F"/>
    <w:rsid w:val="00BF193F"/>
    <w:rsid w:val="00BF1C62"/>
    <w:rsid w:val="00BF5E4F"/>
    <w:rsid w:val="00C00B0E"/>
    <w:rsid w:val="00C02E8F"/>
    <w:rsid w:val="00C07B96"/>
    <w:rsid w:val="00C07F02"/>
    <w:rsid w:val="00C134F4"/>
    <w:rsid w:val="00C14940"/>
    <w:rsid w:val="00C1676B"/>
    <w:rsid w:val="00C2166A"/>
    <w:rsid w:val="00C24282"/>
    <w:rsid w:val="00C24634"/>
    <w:rsid w:val="00C312B5"/>
    <w:rsid w:val="00C336BA"/>
    <w:rsid w:val="00C347B1"/>
    <w:rsid w:val="00C364A1"/>
    <w:rsid w:val="00C42814"/>
    <w:rsid w:val="00C42DF4"/>
    <w:rsid w:val="00C453EB"/>
    <w:rsid w:val="00C527D5"/>
    <w:rsid w:val="00C54BCF"/>
    <w:rsid w:val="00C56C2F"/>
    <w:rsid w:val="00C64682"/>
    <w:rsid w:val="00C73050"/>
    <w:rsid w:val="00C75621"/>
    <w:rsid w:val="00C91166"/>
    <w:rsid w:val="00C92EE8"/>
    <w:rsid w:val="00CA25F8"/>
    <w:rsid w:val="00CA535C"/>
    <w:rsid w:val="00CA5CEE"/>
    <w:rsid w:val="00CA725F"/>
    <w:rsid w:val="00CB2F73"/>
    <w:rsid w:val="00CB55E0"/>
    <w:rsid w:val="00CB5C79"/>
    <w:rsid w:val="00CC2EDD"/>
    <w:rsid w:val="00CC7680"/>
    <w:rsid w:val="00CD20BC"/>
    <w:rsid w:val="00CD48A5"/>
    <w:rsid w:val="00CE3CE5"/>
    <w:rsid w:val="00CF0FDE"/>
    <w:rsid w:val="00CF1D0C"/>
    <w:rsid w:val="00CF3375"/>
    <w:rsid w:val="00D016A5"/>
    <w:rsid w:val="00D02C75"/>
    <w:rsid w:val="00D130A8"/>
    <w:rsid w:val="00D206FF"/>
    <w:rsid w:val="00D26FD0"/>
    <w:rsid w:val="00D30E3D"/>
    <w:rsid w:val="00D407B6"/>
    <w:rsid w:val="00D460C1"/>
    <w:rsid w:val="00D57D17"/>
    <w:rsid w:val="00D67E86"/>
    <w:rsid w:val="00D70CC3"/>
    <w:rsid w:val="00D72599"/>
    <w:rsid w:val="00D73D67"/>
    <w:rsid w:val="00D83520"/>
    <w:rsid w:val="00D83B57"/>
    <w:rsid w:val="00D84926"/>
    <w:rsid w:val="00D859DF"/>
    <w:rsid w:val="00D87AF4"/>
    <w:rsid w:val="00D87EB7"/>
    <w:rsid w:val="00D90485"/>
    <w:rsid w:val="00D92517"/>
    <w:rsid w:val="00D93340"/>
    <w:rsid w:val="00D95CF6"/>
    <w:rsid w:val="00DA0882"/>
    <w:rsid w:val="00DA2B66"/>
    <w:rsid w:val="00DB4D82"/>
    <w:rsid w:val="00DC1DEB"/>
    <w:rsid w:val="00DC666F"/>
    <w:rsid w:val="00DC7474"/>
    <w:rsid w:val="00DD2DE7"/>
    <w:rsid w:val="00DE4CF9"/>
    <w:rsid w:val="00DF20CE"/>
    <w:rsid w:val="00DF34B5"/>
    <w:rsid w:val="00E0530F"/>
    <w:rsid w:val="00E0567D"/>
    <w:rsid w:val="00E15671"/>
    <w:rsid w:val="00E15B2C"/>
    <w:rsid w:val="00E2052F"/>
    <w:rsid w:val="00E22644"/>
    <w:rsid w:val="00E22BF5"/>
    <w:rsid w:val="00E272A8"/>
    <w:rsid w:val="00E273C2"/>
    <w:rsid w:val="00E30430"/>
    <w:rsid w:val="00E311A1"/>
    <w:rsid w:val="00E37CED"/>
    <w:rsid w:val="00E470A3"/>
    <w:rsid w:val="00E50FA2"/>
    <w:rsid w:val="00E51963"/>
    <w:rsid w:val="00E548BA"/>
    <w:rsid w:val="00E70EEC"/>
    <w:rsid w:val="00E7489A"/>
    <w:rsid w:val="00E86691"/>
    <w:rsid w:val="00E91352"/>
    <w:rsid w:val="00E9555F"/>
    <w:rsid w:val="00E9595F"/>
    <w:rsid w:val="00E96DA6"/>
    <w:rsid w:val="00EA11EA"/>
    <w:rsid w:val="00EA1BBD"/>
    <w:rsid w:val="00EA39F7"/>
    <w:rsid w:val="00EB4EC6"/>
    <w:rsid w:val="00EB4ED6"/>
    <w:rsid w:val="00EB70C6"/>
    <w:rsid w:val="00EC3970"/>
    <w:rsid w:val="00EC7DB5"/>
    <w:rsid w:val="00ED1CE3"/>
    <w:rsid w:val="00ED46A3"/>
    <w:rsid w:val="00EE37E0"/>
    <w:rsid w:val="00EE5DB0"/>
    <w:rsid w:val="00EF297A"/>
    <w:rsid w:val="00EF2FAF"/>
    <w:rsid w:val="00F063F3"/>
    <w:rsid w:val="00F10967"/>
    <w:rsid w:val="00F154A4"/>
    <w:rsid w:val="00F21901"/>
    <w:rsid w:val="00F26BD9"/>
    <w:rsid w:val="00F329A0"/>
    <w:rsid w:val="00F3506A"/>
    <w:rsid w:val="00F40921"/>
    <w:rsid w:val="00F41822"/>
    <w:rsid w:val="00F43C17"/>
    <w:rsid w:val="00F50898"/>
    <w:rsid w:val="00F50B29"/>
    <w:rsid w:val="00F50CB3"/>
    <w:rsid w:val="00F533C0"/>
    <w:rsid w:val="00F53EE1"/>
    <w:rsid w:val="00F74D13"/>
    <w:rsid w:val="00F766B3"/>
    <w:rsid w:val="00F82CF9"/>
    <w:rsid w:val="00F83C24"/>
    <w:rsid w:val="00F85B43"/>
    <w:rsid w:val="00F92F31"/>
    <w:rsid w:val="00F93D3F"/>
    <w:rsid w:val="00FA374C"/>
    <w:rsid w:val="00FB5C50"/>
    <w:rsid w:val="00FC0487"/>
    <w:rsid w:val="00FD685A"/>
    <w:rsid w:val="00FE176D"/>
    <w:rsid w:val="00FE7AB8"/>
    <w:rsid w:val="00FF0703"/>
    <w:rsid w:val="00FF1B94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AC8A1"/>
  <w15:chartTrackingRefBased/>
  <w15:docId w15:val="{432E4CAC-7579-47C9-B6A0-7189B5D3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7B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sz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</w:rPr>
  </w:style>
  <w:style w:type="paragraph" w:styleId="Tekstblokowy">
    <w:name w:val="Block Text"/>
    <w:basedOn w:val="Normalny"/>
    <w:semiHidden/>
    <w:pPr>
      <w:spacing w:after="60"/>
      <w:ind w:left="720" w:right="-79"/>
      <w:jc w:val="both"/>
    </w:pPr>
    <w:rPr>
      <w:rFonts w:ascii="Arial Narrow" w:hAnsi="Arial Narrow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rPr>
      <w:b/>
      <w:sz w:val="24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426"/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styleId="Tytu">
    <w:name w:val="Title"/>
    <w:basedOn w:val="Normalny"/>
    <w:qFormat/>
    <w:pPr>
      <w:ind w:left="5664"/>
      <w:jc w:val="center"/>
    </w:pPr>
    <w:rPr>
      <w:rFonts w:ascii="Arial Narrow" w:hAnsi="Arial Narrow"/>
      <w:b/>
      <w:sz w:val="3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79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5579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74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C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C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C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4C14"/>
    <w:rPr>
      <w:b/>
      <w:bCs/>
    </w:rPr>
  </w:style>
  <w:style w:type="character" w:customStyle="1" w:styleId="ZwykytekstZnak">
    <w:name w:val="Zwykły tekst Znak"/>
    <w:link w:val="Zwykytekst"/>
    <w:uiPriority w:val="99"/>
    <w:rsid w:val="00840F66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110E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535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D0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trigo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@trigo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@trigo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@trig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@trigo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A749-F1A9-456B-A696-FBA6F4845F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9793</Characters>
  <Application>Microsoft Office Word</Application>
  <DocSecurity>4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PROCEDURA POSTĘPOWANIA </vt:lpstr>
    </vt:vector>
  </TitlesOfParts>
  <Company/>
  <LinksUpToDate>false</LinksUpToDate>
  <CharactersWithSpaces>11265</CharactersWithSpaces>
  <SharedDoc>false</SharedDoc>
  <HLinks>
    <vt:vector size="6" baseType="variant"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http://www.trigon.pl/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Krystian.Kuropas@trigon.pl</dc:creator>
  <cp:keywords/>
  <cp:lastModifiedBy>Renata Damaziak</cp:lastModifiedBy>
  <cp:revision>2</cp:revision>
  <cp:lastPrinted>2016-08-22T09:31:00Z</cp:lastPrinted>
  <dcterms:created xsi:type="dcterms:W3CDTF">2024-10-24T08:25:00Z</dcterms:created>
  <dcterms:modified xsi:type="dcterms:W3CDTF">2024-10-24T08:25:00Z</dcterms:modified>
</cp:coreProperties>
</file>